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48"/>
          <w:szCs w:val="48"/>
        </w:rPr>
      </w:pPr>
    </w:p>
    <w:p>
      <w:pPr>
        <w:spacing w:line="360" w:lineRule="auto"/>
        <w:rPr>
          <w:rFonts w:hint="eastAsia"/>
          <w:sz w:val="48"/>
          <w:szCs w:val="48"/>
        </w:rPr>
      </w:pPr>
    </w:p>
    <w:p>
      <w:pPr>
        <w:spacing w:line="360" w:lineRule="auto"/>
        <w:jc w:val="center"/>
        <w:rPr>
          <w:rFonts w:hint="eastAsia"/>
          <w:b/>
          <w:sz w:val="56"/>
          <w:szCs w:val="56"/>
        </w:rPr>
      </w:pPr>
      <w:r>
        <w:rPr>
          <w:rFonts w:hint="eastAsia"/>
          <w:b/>
          <w:sz w:val="56"/>
          <w:szCs w:val="56"/>
        </w:rPr>
        <w:t>首都金融法讯周刊</w:t>
      </w:r>
    </w:p>
    <w:p>
      <w:pPr>
        <w:spacing w:line="360" w:lineRule="auto"/>
        <w:jc w:val="center"/>
        <w:rPr>
          <w:rFonts w:hint="eastAsia" w:eastAsiaTheme="minorEastAsia"/>
          <w:b/>
          <w:sz w:val="56"/>
          <w:szCs w:val="56"/>
          <w:lang w:val="en-US" w:eastAsia="zh-CN"/>
        </w:rPr>
      </w:pPr>
      <w:r>
        <w:rPr>
          <w:rFonts w:hint="eastAsia"/>
          <w:b/>
          <w:sz w:val="56"/>
          <w:szCs w:val="56"/>
          <w:lang w:val="en-US" w:eastAsia="zh-CN"/>
        </w:rPr>
        <w:t>2018.1.20-2018.1.26</w:t>
      </w:r>
    </w:p>
    <w:p>
      <w:pPr>
        <w:spacing w:line="360" w:lineRule="auto"/>
        <w:jc w:val="center"/>
        <w:rPr>
          <w:rFonts w:hint="eastAsia"/>
          <w:b/>
          <w:sz w:val="56"/>
          <w:szCs w:val="56"/>
        </w:rPr>
      </w:pPr>
      <w:r>
        <w:rPr>
          <w:rFonts w:hint="eastAsia"/>
          <w:b/>
          <w:sz w:val="56"/>
          <w:szCs w:val="56"/>
        </w:rPr>
        <w:t>（第</w:t>
      </w:r>
      <w:r>
        <w:rPr>
          <w:rFonts w:hint="eastAsia"/>
          <w:b/>
          <w:sz w:val="56"/>
          <w:szCs w:val="56"/>
          <w:lang w:val="en-US" w:eastAsia="zh-CN"/>
        </w:rPr>
        <w:t>4</w:t>
      </w:r>
      <w:r>
        <w:rPr>
          <w:rFonts w:hint="eastAsia"/>
          <w:b/>
          <w:sz w:val="56"/>
          <w:szCs w:val="56"/>
        </w:rPr>
        <w:t>期）</w:t>
      </w: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both"/>
        <w:rPr>
          <w:rFonts w:hint="eastAsia"/>
          <w:b/>
          <w:sz w:val="48"/>
          <w:szCs w:val="48"/>
        </w:rPr>
      </w:pPr>
    </w:p>
    <w:p>
      <w:pPr>
        <w:spacing w:line="360" w:lineRule="auto"/>
        <w:jc w:val="center"/>
        <w:rPr>
          <w:rFonts w:hint="eastAsia"/>
          <w:b/>
          <w:sz w:val="48"/>
          <w:szCs w:val="48"/>
        </w:rPr>
      </w:pPr>
      <w:r>
        <w:rPr>
          <w:rFonts w:hint="eastAsia"/>
          <w:b/>
          <w:sz w:val="48"/>
          <w:szCs w:val="48"/>
        </w:rPr>
        <w:t>北京市中永律师事务所</w:t>
      </w:r>
    </w:p>
    <w:p>
      <w:pPr>
        <w:spacing w:line="360" w:lineRule="auto"/>
        <w:jc w:val="center"/>
        <w:rPr>
          <w:rFonts w:hint="eastAsia"/>
          <w:b/>
          <w:sz w:val="48"/>
          <w:szCs w:val="48"/>
        </w:rPr>
      </w:pPr>
    </w:p>
    <w:p>
      <w:pPr>
        <w:pStyle w:val="5"/>
        <w:ind w:left="98" w:leftChars="41"/>
        <w:jc w:val="center"/>
        <w:rPr>
          <w:rFonts w:hint="eastAsia"/>
          <w:b/>
          <w:sz w:val="48"/>
          <w:szCs w:val="48"/>
        </w:rPr>
      </w:pPr>
      <w:r>
        <w:rPr>
          <w:rFonts w:hint="eastAsia"/>
        </w:rPr>
        <w:t>201</w:t>
      </w:r>
      <w:r>
        <w:rPr>
          <w:rFonts w:hint="eastAsia"/>
          <w:lang w:val="en-US" w:eastAsia="zh-CN"/>
        </w:rPr>
        <w:t>8</w:t>
      </w:r>
      <w:bookmarkStart w:id="47" w:name="_GoBack"/>
      <w:bookmarkEnd w:id="47"/>
      <w:r>
        <w:rPr>
          <w:rFonts w:hint="eastAsia"/>
        </w:rPr>
        <w:t>年</w:t>
      </w:r>
    </w:p>
    <w:p>
      <w:pPr>
        <w:spacing w:line="360" w:lineRule="auto"/>
        <w:jc w:val="center"/>
        <w:rPr>
          <w:rFonts w:hint="eastAsia"/>
          <w:b/>
          <w:sz w:val="28"/>
          <w:szCs w:val="28"/>
        </w:rPr>
        <w:sectPr>
          <w:pgSz w:w="11900" w:h="16838"/>
          <w:pgMar w:top="1440" w:right="1803" w:bottom="1440" w:left="1803" w:header="0" w:footer="567" w:gutter="0"/>
          <w:paperSrc/>
          <w:pgNumType w:fmt="decimal" w:start="1"/>
          <w:cols w:space="425" w:num="1"/>
          <w:rtlGutter w:val="0"/>
          <w:docGrid w:linePitch="360" w:charSpace="0"/>
        </w:sectPr>
      </w:pPr>
    </w:p>
    <w:p>
      <w:pPr>
        <w:spacing w:line="360" w:lineRule="auto"/>
        <w:jc w:val="center"/>
        <w:rPr>
          <w:rFonts w:hint="eastAsia"/>
          <w:b/>
          <w:sz w:val="28"/>
          <w:szCs w:val="28"/>
        </w:rPr>
      </w:pPr>
      <w:r>
        <w:rPr>
          <w:rFonts w:hint="eastAsia"/>
          <w:b/>
          <w:sz w:val="28"/>
          <w:szCs w:val="28"/>
        </w:rPr>
        <w:t>首都金融法讯周刊</w:t>
      </w:r>
    </w:p>
    <w:p>
      <w:pPr>
        <w:pStyle w:val="8"/>
        <w:tabs>
          <w:tab w:val="right" w:leader="hyphen" w:pos="8294"/>
        </w:tabs>
        <w:rPr>
          <w:rFonts w:hint="eastAsia"/>
          <w:b/>
          <w:sz w:val="28"/>
          <w:szCs w:val="28"/>
        </w:rPr>
      </w:pPr>
    </w:p>
    <w:p>
      <w:pPr>
        <w:pStyle w:val="8"/>
        <w:tabs>
          <w:tab w:val="right" w:leader="hyphen" w:pos="8294"/>
        </w:tabs>
        <w:spacing w:line="360" w:lineRule="auto"/>
        <w:rPr>
          <w:rFonts w:hint="eastAsia" w:ascii="华文仿宋" w:hAnsi="华文仿宋" w:eastAsia="华文仿宋" w:cs="华文仿宋"/>
          <w:b/>
          <w:bCs/>
        </w:rPr>
      </w:pPr>
      <w:r>
        <w:rPr>
          <w:rFonts w:hint="eastAsia" w:ascii="华文仿宋" w:hAnsi="华文仿宋" w:eastAsia="华文仿宋" w:cs="华文仿宋"/>
          <w:b/>
          <w:sz w:val="28"/>
          <w:szCs w:val="28"/>
        </w:rPr>
        <w:fldChar w:fldCharType="begin"/>
      </w:r>
      <w:r>
        <w:rPr>
          <w:rFonts w:hint="eastAsia" w:ascii="华文仿宋" w:hAnsi="华文仿宋" w:eastAsia="华文仿宋" w:cs="华文仿宋"/>
          <w:b/>
          <w:sz w:val="28"/>
          <w:szCs w:val="28"/>
        </w:rPr>
        <w:instrText xml:space="preserve">TOC \o "1-3" \h \u </w:instrText>
      </w:r>
      <w:r>
        <w:rPr>
          <w:rFonts w:hint="eastAsia" w:ascii="华文仿宋" w:hAnsi="华文仿宋" w:eastAsia="华文仿宋" w:cs="华文仿宋"/>
          <w:b/>
          <w:sz w:val="28"/>
          <w:szCs w:val="28"/>
        </w:rPr>
        <w:fldChar w:fldCharType="separate"/>
      </w: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_Toc24988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1. 金融大政</w:t>
      </w:r>
      <w:r>
        <w:rPr>
          <w:rFonts w:hint="eastAsia" w:ascii="华文仿宋" w:hAnsi="华文仿宋" w:eastAsia="华文仿宋" w:cs="华文仿宋"/>
          <w:b/>
          <w:bCs/>
          <w:szCs w:val="28"/>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"中共中央召开党外人士座谈会习近平主持并发表重要讲话"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1.1  中共中央召开党外人士座谈会 习近平主持并发表重要讲话</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"关于市场化银行债权转股权实施中有关具体政策问题的通知"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1.2  关于市场化银行债权转股权实施中有关具体政策问题的通知</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4</w:t>
      </w:r>
      <w:r>
        <w:rPr>
          <w:rFonts w:hint="eastAsia" w:ascii="华文仿宋" w:hAnsi="华文仿宋" w:eastAsia="华文仿宋" w:cs="华文仿宋"/>
          <w:color w:val="auto"/>
          <w:u w:val="none"/>
        </w:rPr>
        <w:fldChar w:fldCharType="end"/>
      </w:r>
    </w:p>
    <w:p>
      <w:pPr>
        <w:pStyle w:val="8"/>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_Toc27916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2. 行业金融监管</w:t>
      </w:r>
      <w:r>
        <w:rPr>
          <w:rFonts w:hint="eastAsia" w:ascii="华文仿宋" w:hAnsi="华文仿宋" w:eastAsia="华文仿宋" w:cs="华文仿宋"/>
          <w:b/>
          <w:bCs/>
          <w:szCs w:val="28"/>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"人民银行海洋局等八部委联合印发《关于改进和加强海洋经济发展金融服务的指导意"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2.1 人民银行 海洋局等八部委联合印发《关于改进和加强海洋经济发展金融服务的指导意见》</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7</w:t>
      </w:r>
      <w:r>
        <w:rPr>
          <w:rFonts w:hint="eastAsia" w:ascii="华文仿宋" w:hAnsi="华文仿宋" w:eastAsia="华文仿宋" w:cs="华文仿宋"/>
          <w:color w:val="auto"/>
          <w:u w:val="none"/>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"央行副行长陈雨露：发展征信要监管协调促进信息共享"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2.2 央行副行长陈雨露：发展征信要监管协调促进信息共享</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2</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"陈雨露为实体经济服务是金融的本分"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2.3 陈雨露:为实体经济服务是金融的本分</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"央行副行长陈雨露：将加大绿色金融产品和服务体系创新"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2.4</w:t>
      </w:r>
      <w:r>
        <w:rPr>
          <w:rStyle w:val="15"/>
          <w:rFonts w:hint="eastAsia" w:ascii="华文仿宋" w:hAnsi="华文仿宋" w:eastAsia="华文仿宋" w:cs="华文仿宋"/>
          <w:lang w:val="en-US" w:eastAsia="zh-CN"/>
        </w:rPr>
        <w:t xml:space="preserve"> 央行副行长陈雨露：将加大绿色金融产品和服务体系创新</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3</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0</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"央行副行长陈雨露：央行正审慎从严地批设市场化个人征信机构"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2.5 央行副行长陈雨露：央行正审慎从严地批设市场化个人征信机构</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3</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"陈雨露金融机构资产管理产品综合统计制度已基本成熟"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2.6 陈雨露：金融机构资产管理产品综合统计制度已基本成熟</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3</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"潘功胜：坚持防控风险与条线监督相结合维护外汇市场稳定"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2.7 潘功胜：坚持防控风险与条线监督相结合 维护外汇市场稳定</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3</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4</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"范一飞：中国央行数字货币应采用双层投放体系"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2.8 范一飞：中国央行数字货币应采用双层投放体系</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3</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5</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"小额贷款公司统计数据报告"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2.9 2017年小额贷款公司统计数据报告</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"金融市场运行情况"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2.10 2017年金融市场运行情况</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"专访银监会主席郭树清：打好防范化解重大金融风险攻坚战"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2.11 专访银监会主席郭树清：打好防范化解重大金融风险攻坚战</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7</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"达沃斯热议：下一场全球金融危机方星海怒怼：妄想做空中国牟利"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2.12 达沃斯热议：下一场全球金融危机 方星海怒怼：妄想做空中国牟利</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"互金早报：方星海称将加强管制比特币、保监会严查\“灰犀牛\”风险"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2.13 互金早报：方星海称将加强管制比特币、保监会严查“灰犀牛”风险-5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5</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"方星海：监管的快速行动决定了中国能够防止金融奔溃"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2.14 方星海：监管的快速行动决定了中国能够防止金融奔溃</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"方星海中国要对比特币加强管制因其交易太频繁"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2.15 方星海:中国要对比特币加强管制 因其交易太频繁</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"中国证监会党委传达学习十九届二中全会精神"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2.16中国证监会党委传达学习十九届二中全会精神</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"证监会通报2017年专项执法行动工作进展"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2.17 证监会通报2017年专项执法行动工作进展</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5</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"证监会对5宗案件作出行政处罚"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2.18 证监会对5宗案件作出行政处罚</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8</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"证监会严厉处罚一起编造传播虚假信息行为"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2.19 证监会严厉处罚一起编造传播虚假信息行为</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0</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"证监会2017年稽查执法工作情况通报"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2.20证监会2017年稽查执法工作情况通报</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w:t>
      </w:r>
    </w:p>
    <w:p>
      <w:pPr>
        <w:pStyle w:val="9"/>
        <w:tabs>
          <w:tab w:val="right" w:leader="hyphen" w:pos="8294"/>
        </w:tabs>
        <w:spacing w:line="360" w:lineRule="auto"/>
        <w:rPr>
          <w:rFonts w:hint="eastAsia" w:ascii="华文仿宋" w:hAnsi="华文仿宋" w:eastAsia="华文仿宋" w:cs="华文仿宋"/>
          <w:szCs w:val="28"/>
        </w:rPr>
        <w:sectPr>
          <w:footerReference r:id="rId3" w:type="default"/>
          <w:pgSz w:w="11900" w:h="16838"/>
          <w:pgMar w:top="1440" w:right="1803" w:bottom="1440" w:left="1803" w:header="0" w:footer="567" w:gutter="0"/>
          <w:paperSrc/>
          <w:pgNumType w:fmt="decimal" w:start="1"/>
          <w:cols w:space="425" w:num="1"/>
          <w:rtlGutter w:val="0"/>
          <w:docGrid w:linePitch="360" w:charSpace="0"/>
        </w:sectPr>
      </w:pP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"证监会通报证券行业\“自查自纠、规整规范\”专项活动现场检查情况"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2.21 证监会通报证券行业“自查自纠、规整规范”专项活动现场检查情况-7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"证监会新闻发言人高莉就防范市场风险、严厉打击操纵市场、维护市场秩序答记者问"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2.22 证监会新闻发言人高莉就防范市场风险、严厉打击操纵市场、维护市场秩序答记者问</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"保险资金运用管理办法"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2.23 保险资金运用管理办法</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w:t>
      </w:r>
    </w:p>
    <w:p>
      <w:pPr>
        <w:pStyle w:val="8"/>
        <w:tabs>
          <w:tab w:val="right" w:leader="hyphen" w:pos="8294"/>
        </w:tabs>
        <w:spacing w:line="360" w:lineRule="auto"/>
        <w:rPr>
          <w:rFonts w:hint="eastAsia" w:ascii="华文仿宋" w:hAnsi="华文仿宋" w:eastAsia="华文仿宋" w:cs="华文仿宋"/>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_Toc10097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3. 行业金融派驻监管</w:t>
      </w:r>
      <w:r>
        <w:rPr>
          <w:rFonts w:hint="eastAsia" w:ascii="华文仿宋" w:hAnsi="华文仿宋" w:eastAsia="华文仿宋" w:cs="华文仿宋"/>
          <w:b/>
          <w:bCs/>
          <w:szCs w:val="28"/>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"营业管理部党委理论学习中心组开展中央经济工作会议精神集中学习"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3.1 营业管理部党委理论学习中心组开展中央经济工作会议精神集中学习</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9</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"北京银监局持续推进农村土地相关抵押贷款试点"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3.2 北京银监局持续推进农村土地相关抵押贷款试点</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00</w:t>
      </w:r>
    </w:p>
    <w:p>
      <w:pPr>
        <w:pStyle w:val="8"/>
        <w:tabs>
          <w:tab w:val="right" w:leader="hyphen" w:pos="8294"/>
        </w:tabs>
        <w:spacing w:line="360" w:lineRule="auto"/>
        <w:rPr>
          <w:rFonts w:hint="eastAsia" w:ascii="华文仿宋" w:hAnsi="华文仿宋" w:eastAsia="华文仿宋" w:cs="华文仿宋"/>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_Toc28166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4. 地方金融监管</w:t>
      </w:r>
      <w:r>
        <w:rPr>
          <w:rFonts w:hint="eastAsia" w:ascii="华文仿宋" w:hAnsi="华文仿宋" w:eastAsia="华文仿宋" w:cs="华文仿宋"/>
          <w:b/>
          <w:bCs/>
          <w:szCs w:val="28"/>
        </w:rPr>
        <w:fldChar w:fldCharType="end"/>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"中国迈进\“轻现金社会\”需破解金融信息安全难题"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4.1 中国迈进 “轻现金社会” 需破解金融信息安全难题</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01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"新经济对北京GDP贡献超三成"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4.2 新经济对北京GDP贡献超三成</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06</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"央行或严禁支付机构为虚拟货币交易服务监管再升级"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4.3</w:t>
      </w:r>
      <w:r>
        <w:rPr>
          <w:rStyle w:val="15"/>
          <w:rFonts w:hint="eastAsia" w:ascii="华文仿宋" w:hAnsi="华文仿宋" w:eastAsia="华文仿宋" w:cs="华文仿宋"/>
          <w:lang w:val="en-US" w:eastAsia="zh-CN"/>
        </w:rPr>
        <w:t xml:space="preserve"> 央行或严禁支付机构为虚拟货币交易服务 监管再升级</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09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"北京银行践行文化金融先行者创新助力文创企业发展" </w:instrText>
      </w:r>
      <w:r>
        <w:rPr>
          <w:rFonts w:hint="eastAsia" w:ascii="华文仿宋" w:hAnsi="华文仿宋" w:eastAsia="华文仿宋" w:cs="华文仿宋"/>
          <w:color w:val="auto"/>
          <w:u w:val="none"/>
        </w:rPr>
        <w:fldChar w:fldCharType="separate"/>
      </w:r>
      <w:r>
        <w:rPr>
          <w:rStyle w:val="15"/>
          <w:rFonts w:hint="eastAsia" w:ascii="华文仿宋" w:hAnsi="华文仿宋" w:eastAsia="华文仿宋" w:cs="华文仿宋"/>
        </w:rPr>
        <w:t>4.4</w:t>
      </w:r>
      <w:r>
        <w:rPr>
          <w:rStyle w:val="15"/>
          <w:rFonts w:hint="eastAsia" w:ascii="华文仿宋" w:hAnsi="华文仿宋" w:eastAsia="华文仿宋" w:cs="华文仿宋"/>
          <w:lang w:val="en-US" w:eastAsia="zh-CN"/>
        </w:rPr>
        <w:t xml:space="preserve"> 北京银行践行文化金融先行者 创新助力文创企业发展</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szCs w:val="28"/>
          <w:lang w:val="en-US" w:eastAsia="zh-CN"/>
        </w:rPr>
        <w:t>11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"思想再解放改革再深入工作再抓实推动全面深化改革在新起点上实现新突破"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4.5 思想再解放 改革再深入 工作再抓实推动全面深化改革在新起点上实现新突破</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17</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"证监会高层\“三提\”支持创新企业"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4.6 证监会高层“三提”支持创新企业</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21</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"央行放宽个人Ⅲ类账户使用限制"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4.7 央行放宽个人Ⅲ类账户使用限制</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"京津冀协同发展将有新突破"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4.8 京津冀协同发展将有新突破</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25</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"围绕防范金融风险推进公开"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4.9 围绕防范金融风险推进公开</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28</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"北京市十五届人大一次会议隆重开幕"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4.10 北京市十五届人大一次会议隆重开幕</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29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"全方位成就深层次变革"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4.11 全方位成就 深层次变革</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32</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"北京金融局霍学文：区块链企业不能造概念欺骗消费者"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4.12 北京金融局霍学文：区块链企业不能造概念欺骗消费者</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37</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"央行发布2017年金融市场运行情况"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4.13 央行发布2017年金融市场运行情况</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39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"央行、银监会等七部门印发对外投资备案报告暂行办法"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4.14 央行、银监会等七部门印发对外投资备案报告暂行办法</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42</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"北京银行业运行稳中向好强监管、推转型、促发展各项工作成效显著"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4.15 北京银行业运行稳中向好 强监管、推转型、促发展各项工作成效显著</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43</w:t>
      </w:r>
    </w:p>
    <w:p>
      <w:pPr>
        <w:pStyle w:val="8"/>
        <w:tabs>
          <w:tab w:val="right" w:leader="hyphen" w:pos="8294"/>
        </w:tabs>
        <w:spacing w:line="360" w:lineRule="auto"/>
        <w:rPr>
          <w:rFonts w:hint="eastAsia" w:ascii="华文仿宋" w:hAnsi="华文仿宋" w:eastAsia="华文仿宋" w:cs="华文仿宋"/>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_Toc15194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lang w:val="en-US" w:eastAsia="zh-CN"/>
        </w:rPr>
        <w:t>5</w:t>
      </w:r>
      <w:r>
        <w:rPr>
          <w:rFonts w:hint="eastAsia" w:ascii="华文仿宋" w:hAnsi="华文仿宋" w:eastAsia="华文仿宋" w:cs="华文仿宋"/>
          <w:b/>
          <w:bCs/>
        </w:rPr>
        <w:t xml:space="preserve">. </w:t>
      </w:r>
      <w:r>
        <w:rPr>
          <w:rFonts w:hint="eastAsia" w:ascii="华文仿宋" w:hAnsi="华文仿宋" w:eastAsia="华文仿宋" w:cs="华文仿宋"/>
          <w:b/>
          <w:bCs/>
          <w:lang w:eastAsia="zh-CN"/>
        </w:rPr>
        <w:t>金融自律</w:t>
      </w:r>
      <w:r>
        <w:rPr>
          <w:rFonts w:hint="eastAsia" w:ascii="华文仿宋" w:hAnsi="华文仿宋" w:eastAsia="华文仿宋" w:cs="华文仿宋"/>
          <w:b/>
          <w:bCs/>
          <w:szCs w:val="28"/>
        </w:rPr>
        <w:fldChar w:fldCharType="end"/>
      </w:r>
    </w:p>
    <w:p>
      <w:pPr>
        <w:pStyle w:val="9"/>
        <w:tabs>
          <w:tab w:val="right" w:leader="hyphen" w:pos="8294"/>
        </w:tabs>
        <w:spacing w:line="360" w:lineRule="auto"/>
        <w:rPr>
          <w:rFonts w:hint="eastAsia" w:ascii="华文仿宋" w:hAnsi="华文仿宋" w:eastAsia="华文仿宋" w:cs="华文仿宋"/>
          <w:szCs w:val="28"/>
        </w:rPr>
        <w:sectPr>
          <w:footerReference r:id="rId4" w:type="default"/>
          <w:pgSz w:w="11900" w:h="16838"/>
          <w:pgMar w:top="1440" w:right="1803" w:bottom="1440" w:left="1803" w:header="0" w:footer="567" w:gutter="0"/>
          <w:paperSrc/>
          <w:pgNumType w:fmt="decimal" w:start="1"/>
          <w:cols w:space="425" w:num="1"/>
          <w:rtlGutter w:val="0"/>
          <w:docGrid w:linePitch="360" w:charSpace="0"/>
        </w:sectPr>
      </w:pP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"金融科技助力行业发展智能投资提升资管水平——中国证券投资基金业协会成功举办金融"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5</w:t>
      </w:r>
      <w:r>
        <w:rPr>
          <w:rStyle w:val="15"/>
          <w:rFonts w:hint="eastAsia" w:ascii="华文仿宋" w:hAnsi="华文仿宋" w:eastAsia="华文仿宋" w:cs="华文仿宋"/>
        </w:rPr>
        <w:t>.1</w:t>
      </w:r>
      <w:r>
        <w:rPr>
          <w:rStyle w:val="15"/>
          <w:rFonts w:hint="eastAsia" w:ascii="华文仿宋" w:hAnsi="华文仿宋" w:eastAsia="华文仿宋" w:cs="华文仿宋"/>
          <w:lang w:val="en-US" w:eastAsia="zh-CN"/>
        </w:rPr>
        <w:t xml:space="preserve"> 金融科技助力行业发展 智能投资提升资管水平——中国证券投资基金业协会成功举办金融科技与智能投资培训班</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46</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"焕发新气象施展新作为——中国证券投资基金业协会自律监察委员会召开第二次全体会议"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5</w:t>
      </w:r>
      <w:r>
        <w:rPr>
          <w:rStyle w:val="15"/>
          <w:rFonts w:hint="eastAsia" w:ascii="华文仿宋" w:hAnsi="华文仿宋" w:eastAsia="华文仿宋" w:cs="华文仿宋"/>
        </w:rPr>
        <w:t>.2 焕发新气象 施展新作为——中国证券投资基金业协会自律监察委员会召开第二次全体会议</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49</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"促进回归本源助力业务发展——中国证券投资基金业协会资产证券化专业委员会类REI"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5.3 促进回归本源 助力业务发展——中国证券投资基金业协会资产证券化专业委员会类REITs业务专题研讨会在京召开</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53</w:t>
      </w:r>
    </w:p>
    <w:p>
      <w:pPr>
        <w:pStyle w:val="9"/>
        <w:tabs>
          <w:tab w:val="right" w:leader="hyphen" w:pos="8294"/>
        </w:tabs>
        <w:spacing w:line="360" w:lineRule="auto"/>
        <w:rPr>
          <w:rFonts w:hint="eastAsia" w:ascii="华文仿宋" w:hAnsi="华文仿宋" w:eastAsia="华文仿宋" w:cs="华文仿宋"/>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"关于注销第四批公示期满三个月且仍未主动联系协会的失联机构私募基金管理人登记的公告" </w:instrText>
      </w:r>
      <w:r>
        <w:rPr>
          <w:rFonts w:hint="eastAsia" w:ascii="华文仿宋" w:hAnsi="华文仿宋" w:eastAsia="华文仿宋" w:cs="华文仿宋"/>
          <w:color w:val="auto"/>
          <w:u w:val="none"/>
          <w:lang w:val="en-US" w:eastAsia="zh-CN"/>
        </w:rPr>
        <w:fldChar w:fldCharType="separate"/>
      </w:r>
      <w:r>
        <w:rPr>
          <w:rStyle w:val="15"/>
          <w:rFonts w:hint="eastAsia" w:ascii="华文仿宋" w:hAnsi="华文仿宋" w:eastAsia="华文仿宋" w:cs="华文仿宋"/>
          <w:lang w:val="en-US" w:eastAsia="zh-CN"/>
        </w:rPr>
        <w:t>5.4</w:t>
      </w:r>
      <w:r>
        <w:rPr>
          <w:rStyle w:val="15"/>
          <w:rFonts w:hint="eastAsia" w:ascii="华文仿宋" w:hAnsi="华文仿宋" w:eastAsia="华文仿宋" w:cs="华文仿宋"/>
        </w:rPr>
        <w:t xml:space="preserve"> 关于注销第四批公示期满三个月且仍未主动联系协会的失联机构私募基金管理人登记的公告</w:t>
      </w:r>
      <w:r>
        <w:rPr>
          <w:rStyle w:val="15"/>
          <w:rFonts w:hint="eastAsia" w:ascii="华文仿宋" w:hAnsi="华文仿宋" w:eastAsia="华文仿宋" w:cs="华文仿宋"/>
        </w:rPr>
        <w:tab/>
      </w:r>
      <w:r>
        <w:rPr>
          <w:rStyle w:val="15"/>
          <w:rFonts w:hint="eastAsia" w:ascii="华文仿宋" w:hAnsi="华文仿宋" w:eastAsia="华文仿宋" w:cs="华文仿宋"/>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szCs w:val="28"/>
          <w:lang w:val="en-US" w:eastAsia="zh-CN"/>
        </w:rPr>
        <w:t>56</w:t>
      </w:r>
    </w:p>
    <w:p>
      <w:pPr>
        <w:spacing w:line="360" w:lineRule="auto"/>
        <w:jc w:val="center"/>
        <w:rPr>
          <w:rFonts w:hint="eastAsia"/>
          <w:b/>
          <w:sz w:val="28"/>
          <w:szCs w:val="28"/>
        </w:rPr>
      </w:pPr>
      <w:r>
        <w:rPr>
          <w:rFonts w:hint="eastAsia" w:ascii="华文仿宋" w:hAnsi="华文仿宋" w:eastAsia="华文仿宋" w:cs="华文仿宋"/>
          <w:szCs w:val="28"/>
        </w:rPr>
        <w:fldChar w:fldCharType="end"/>
      </w:r>
    </w:p>
    <w:p>
      <w:pPr>
        <w:spacing w:line="360" w:lineRule="auto"/>
        <w:jc w:val="left"/>
        <w:rPr>
          <w:rFonts w:hint="eastAsia" w:ascii="华文仿宋" w:hAnsi="华文仿宋" w:eastAsia="华文仿宋" w:cs="华文仿宋"/>
          <w:b/>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left"/>
        <w:rPr>
          <w:rFonts w:hint="eastAsia"/>
          <w:b/>
          <w:sz w:val="48"/>
          <w:szCs w:val="48"/>
        </w:rPr>
      </w:pPr>
    </w:p>
    <w:p>
      <w:pPr>
        <w:spacing w:line="360" w:lineRule="auto"/>
        <w:jc w:val="center"/>
        <w:rPr>
          <w:rFonts w:hint="eastAsia" w:ascii="华文楷体" w:hAnsi="华文楷体" w:eastAsia="华文楷体" w:cs="华文楷体"/>
          <w:b w:val="0"/>
          <w:bCs/>
          <w:sz w:val="24"/>
          <w:szCs w:val="24"/>
        </w:rPr>
        <w:sectPr>
          <w:footerReference r:id="rId5" w:type="default"/>
          <w:pgSz w:w="11900" w:h="16838"/>
          <w:pgMar w:top="1440" w:right="1803" w:bottom="1440" w:left="1803" w:header="0" w:footer="567" w:gutter="0"/>
          <w:paperSrc/>
          <w:pgNumType w:fmt="decimal" w:start="1"/>
          <w:cols w:space="425" w:num="1"/>
          <w:rtlGutter w:val="0"/>
          <w:docGrid w:linePitch="360" w:charSpace="0"/>
        </w:sectPr>
      </w:pP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征求对中共中央关于修改宪法部分内容的建议的意见</w:t>
      </w:r>
    </w:p>
    <w:p>
      <w:pPr>
        <w:spacing w:line="360" w:lineRule="auto"/>
        <w:jc w:val="center"/>
        <w:rPr>
          <w:rFonts w:hint="eastAsia" w:ascii="华文中宋" w:hAnsi="华文中宋" w:eastAsia="华文中宋" w:cs="华文中宋"/>
          <w:b/>
          <w:bCs w:val="0"/>
          <w:sz w:val="24"/>
          <w:szCs w:val="24"/>
        </w:rPr>
      </w:pPr>
      <w:bookmarkStart w:id="0" w:name="中共中央召开党外人士座谈会习近平主持并发表重要讲话"/>
      <w:r>
        <w:rPr>
          <w:rFonts w:hint="eastAsia" w:ascii="华文中宋" w:hAnsi="华文中宋" w:eastAsia="华文中宋" w:cs="华文中宋"/>
          <w:b/>
          <w:bCs w:val="0"/>
          <w:sz w:val="24"/>
          <w:szCs w:val="24"/>
        </w:rPr>
        <w:t>中共中央召开党外人士座谈会 习近平主持并发表重要讲话</w:t>
      </w:r>
    </w:p>
    <w:bookmarkEnd w:id="0"/>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bCs w:val="0"/>
          <w:sz w:val="24"/>
          <w:szCs w:val="24"/>
        </w:rPr>
        <w:t>张德江俞正声栗战书汪洋王沪宁出席</w:t>
      </w:r>
    </w:p>
    <w:p>
      <w:pPr>
        <w:spacing w:line="360" w:lineRule="auto"/>
        <w:jc w:val="center"/>
        <w:rPr>
          <w:rFonts w:hint="eastAsia" w:ascii="华文楷体" w:hAnsi="华文楷体" w:eastAsia="华文楷体" w:cs="华文楷体"/>
          <w:b w:val="0"/>
          <w:bCs/>
          <w:sz w:val="21"/>
          <w:szCs w:val="21"/>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rPr>
        <w:t>2018年01月21日   来源：人民网－人民日报</w:t>
      </w:r>
    </w:p>
    <w:p>
      <w:pPr>
        <w:spacing w:line="360" w:lineRule="auto"/>
        <w:jc w:val="center"/>
        <w:rPr>
          <w:rFonts w:hint="eastAsia" w:ascii="华文楷体" w:hAnsi="华文楷体" w:eastAsia="华文楷体" w:cs="华文楷体"/>
          <w:b w:val="0"/>
          <w:bCs/>
          <w:sz w:val="21"/>
          <w:szCs w:val="21"/>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中共中央2017年12月15日在中南海召开党外人士座谈会，就中共中央关于修改宪法部分内容的建议听取各民主党派中央、全国工商联负责人和无党派人士代表的意见和建议。中共中央总书记习近平主持会议并发表重要讲话。</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张德江、俞正声、栗战书、汪洋、王沪宁出席座谈会。</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座谈会上，民革中央主席万鄂湘、民盟中央主席丁仲礼、民建中央主席陈昌智、民进中央主席蔡达峰、农工党中央主席陈竺、致公党中央主席万钢、九三学社中央主席武维华、台盟中央主席苏辉、全国工商联主席高云龙、无党派人士代表郝如玉先后发言。他们赞成中共中央提出修改宪法的建议，赞同本次宪法修改的总体要求和原则，并就加强宪法实施和监督、维护宪法权威、推进依宪治国和依法治国提出意见和建议。</w:t>
      </w:r>
    </w:p>
    <w:p>
      <w:pPr>
        <w:spacing w:line="360" w:lineRule="auto"/>
        <w:jc w:val="left"/>
        <w:rPr>
          <w:rFonts w:hint="eastAsia" w:ascii="华文楷体" w:hAnsi="华文楷体" w:eastAsia="华文楷体" w:cs="华文楷体"/>
          <w:b w:val="0"/>
          <w:bCs/>
          <w:sz w:val="24"/>
          <w:szCs w:val="24"/>
        </w:rPr>
      </w:pPr>
    </w:p>
    <w:p>
      <w:pPr>
        <w:spacing w:line="360" w:lineRule="auto"/>
        <w:ind w:firstLine="48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在认真听取了大家发言后，习近平作了重要讲话。他表示，今天，我们召开党外人士座谈会，目的是就宪法修改听取大家意见和建议。中共中央坚持协商于决策之前，重视在重要会议召开之前、重要文件颁发之前、重大决策决定之前，听取各民主党派中央、全国工商联和无党派人士意见和建议。大家各抒己见，很多建议都非常中肯，我们将认真研究吸纳。</w:t>
      </w:r>
    </w:p>
    <w:p>
      <w:pPr>
        <w:spacing w:line="360" w:lineRule="auto"/>
        <w:ind w:firstLine="480"/>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sectPr>
          <w:footerReference r:id="rId6" w:type="default"/>
          <w:pgSz w:w="11900" w:h="16838"/>
          <w:pgMar w:top="1440" w:right="1803" w:bottom="1440" w:left="1803" w:header="0" w:footer="567" w:gutter="0"/>
          <w:paperSrc/>
          <w:pgNumType w:fmt="decimal" w:start="1"/>
          <w:cols w:space="425" w:num="1"/>
          <w:rtlGutter w:val="0"/>
          <w:docGrid w:linePitch="360" w:charSpace="0"/>
        </w:sectPr>
      </w:pPr>
      <w:r>
        <w:rPr>
          <w:rFonts w:hint="eastAsia" w:ascii="华文楷体" w:hAnsi="华文楷体" w:eastAsia="华文楷体" w:cs="华文楷体"/>
          <w:b w:val="0"/>
          <w:bCs/>
          <w:sz w:val="24"/>
          <w:szCs w:val="24"/>
        </w:rPr>
        <w:t>　　习近平指出，宪法是国家的根本法，是治国安邦的总章程，是党和人民意志的集中体现。新中国成立以来特别是改革开放近40年来，宪法在我们党治国理政实践中发挥了十分重要的作用。中共十八大以来，中共中央多次强调，坚持依</w:t>
      </w: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法治国首先要坚持依宪治国，坚持依法执政首先要坚持依宪执政。修改宪法，是党和国家政治生活中的一件大事，是中共中央从新时代坚持和发展中国特色社会主义的全局和战略高度作出的重大政治决策，也是推进全面依法治国、推进国家治理体系和治理能力现代化的重大举措。</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习近平强调，我国宪法是一部好宪法。各民主党派和统一战线为我国宪法制度的形成和发展作出了重要贡献。宪法只有不断适应新形势才能具有持久生命力。中共中央决定对宪法进行适当修改，是经过反复考虑、综合方方面面情况作出的，目的是通过修改使我国宪法更好体现人民意志，更好体现中国特色社会主义制度的优势，更好适应提高中国共产党长期执政能力、推进全面依法治国、推进国家治理体系和治理能力现代化的要求。宪法修改，既要顺应党和人民事业发展要求，又要遵循宪法法律发展规律。</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习近平指出，宪法是党和人民意志的集中体现，是通过科学民主程序形成的国家根本法。修改宪法，是事关全局的重大政治活动和重大立法活动，必须在中共中央集中统一领导下进行，坚持党的领导、人民当家作主、依法治国有机统一，坚定中国特色社会主义道路自信、理论自信、制度自信、文化自信，坚定不移走中国特色社会主义政治发展道路和中国特色社会主义法治道路，确保修宪工作正确政治方向。</w:t>
      </w: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习近平强调，宪法是人民的宪法，宪法修改要广察民情、广纳民意、广聚民智，充分体现人民的意志。希望大家深入思考，提出意见和建议。希望大家增强法治意识、强化法治观念，尊崇并带头遵守宪法法律，带动广大成员成为宪法的忠实崇尚者、自觉遵守者、坚定捍卫者。希望大家善用法治思维想问题、作判断、出措施，以法治凝聚共识、规范发展、化解矛盾、保障和谐，为实现中华民族伟大复兴凝聚人心、汇聚力量。</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丁薛祥、王晨、许其亮、李建国、杨晓渡、陈希、黄坤明、尤权、周强、曹建明，中央有关部门负责同志出席座谈会。</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出席座谈会的党外人士还有齐续春、陈晓光、马培华和郝明金、刘新成、何维、蒋作君、邵鸿、李钺锋、谢经荣、甄贞等。（新华社北京1月20日电）</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 人民日报 》（ 2018年01月21日 01 版）</w:t>
      </w:r>
    </w:p>
    <w:p>
      <w:pPr>
        <w:spacing w:line="360" w:lineRule="auto"/>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(责编：谢磊、赵晶)</w:t>
      </w: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both"/>
        <w:rPr>
          <w:rFonts w:hint="eastAsia" w:ascii="华文中宋" w:hAnsi="华文中宋" w:eastAsia="华文中宋" w:cs="华文中宋"/>
          <w:b/>
          <w:bCs w:val="0"/>
          <w:sz w:val="24"/>
          <w:szCs w:val="24"/>
        </w:rPr>
      </w:pPr>
    </w:p>
    <w:p>
      <w:pPr>
        <w:spacing w:line="360" w:lineRule="auto"/>
        <w:jc w:val="center"/>
        <w:rPr>
          <w:rFonts w:hint="eastAsia" w:ascii="华文中宋" w:hAnsi="华文中宋" w:eastAsia="华文中宋" w:cs="华文中宋"/>
          <w:b/>
          <w:bCs w:val="0"/>
          <w:sz w:val="24"/>
          <w:szCs w:val="24"/>
        </w:rPr>
      </w:pPr>
      <w:bookmarkStart w:id="1" w:name="关于市场化银行债权转股权实施中有关具体政策问题的通知"/>
      <w:r>
        <w:rPr>
          <w:rFonts w:hint="eastAsia" w:ascii="华文中宋" w:hAnsi="华文中宋" w:eastAsia="华文中宋" w:cs="华文中宋"/>
          <w:b/>
          <w:bCs w:val="0"/>
          <w:sz w:val="24"/>
          <w:szCs w:val="24"/>
        </w:rPr>
        <w:t>关于市场化银行债权转股权实施中</w:t>
      </w:r>
    </w:p>
    <w:p>
      <w:pPr>
        <w:spacing w:line="360" w:lineRule="auto"/>
        <w:jc w:val="center"/>
        <w:rPr>
          <w:rFonts w:hint="eastAsia" w:ascii="华文中宋" w:hAnsi="华文中宋" w:eastAsia="华文中宋" w:cs="华文中宋"/>
          <w:b/>
          <w:bCs w:val="0"/>
          <w:sz w:val="24"/>
          <w:szCs w:val="24"/>
        </w:rPr>
      </w:pPr>
      <w:r>
        <w:rPr>
          <w:rFonts w:hint="eastAsia" w:ascii="华文中宋" w:hAnsi="华文中宋" w:eastAsia="华文中宋" w:cs="华文中宋"/>
          <w:b/>
          <w:bCs w:val="0"/>
          <w:sz w:val="24"/>
          <w:szCs w:val="24"/>
        </w:rPr>
        <w:t>有关具体政策问题的通知</w:t>
      </w:r>
    </w:p>
    <w:bookmarkEnd w:id="1"/>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2018年1月25日 来源：国家发展和改革委员会</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发改财金〔2018〕152号</w:t>
      </w:r>
    </w:p>
    <w:p>
      <w:pPr>
        <w:spacing w:line="360" w:lineRule="auto"/>
        <w:jc w:val="center"/>
        <w:rPr>
          <w:rFonts w:hint="eastAsia" w:ascii="华文楷体" w:hAnsi="华文楷体" w:eastAsia="华文楷体" w:cs="华文楷体"/>
          <w:b w:val="0"/>
          <w:bCs/>
          <w:sz w:val="24"/>
          <w:szCs w:val="24"/>
        </w:rPr>
      </w:pP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各银行、各市场化债转股实施机构：</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为深入学习贯彻习近平新时代中国特色社会主义思想和党的十九大精神，落实全国金融工作会议和《政府工作报告》部署，有效推动《国务院关于积极稳妥降低企业杠杆率的意见》（国发〔2016〕54号，以下简称《意见》）、《关于做好市场化银行债权转股权相关工作的通知》（发改财金〔2016〕2792号）顺利实施，切实解决市场化银行债权转股权（以下简称市场化债转股）工作中遇到的具体问题和困难，经国务院同意，现将有关事项进一步明确并通知如下：</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　一、允许采用股债结合的综合性方案降低企业杠杆率。</w:t>
      </w:r>
      <w:r>
        <w:rPr>
          <w:rFonts w:hint="eastAsia" w:ascii="华文楷体" w:hAnsi="华文楷体" w:eastAsia="华文楷体" w:cs="华文楷体"/>
          <w:b w:val="0"/>
          <w:bCs/>
          <w:sz w:val="24"/>
          <w:szCs w:val="24"/>
        </w:rPr>
        <w:t>各实施机构可根据对象企业降低杠杆率的目标，设计股债结合、以股为主的综合性降杠杆方案，并允许有条件、分阶段实现转股。鼓励以收债转股模式开展市场化债转股，方案中含有以股抵债或发股还债安排的按市场化债转股项目报送信息。</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　二、允许实施机构发起设立私募股权投资基金开展市场化债转股。</w:t>
      </w:r>
      <w:r>
        <w:rPr>
          <w:rFonts w:hint="eastAsia" w:ascii="华文楷体" w:hAnsi="华文楷体" w:eastAsia="华文楷体" w:cs="华文楷体"/>
          <w:b w:val="0"/>
          <w:bCs/>
          <w:sz w:val="24"/>
          <w:szCs w:val="24"/>
        </w:rPr>
        <w:t>各类实施机构发起设立的私募股权投资基金可向符合条件的合格投资者募集资金，并遵守相关监管要求。符合条件的银行理财产品可依法依规向实施机构发起设立的私募股权投资基金出资。允许实施机构发起设立的私募股权投资基金与对象企业合作设立子基金，面向对象企业优质子公司开展市场化债转股。支持实施机构与股权投资机构合作发起设立专项开展市场化债转股的私募股权投资基金。</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三、规范实施机构以发股还债模式开展市场化债转股。</w:t>
      </w:r>
      <w:r>
        <w:rPr>
          <w:rFonts w:hint="eastAsia" w:ascii="华文楷体" w:hAnsi="华文楷体" w:eastAsia="华文楷体" w:cs="华文楷体"/>
          <w:b w:val="0"/>
          <w:bCs/>
          <w:sz w:val="24"/>
          <w:szCs w:val="24"/>
        </w:rPr>
        <w:t>实施机构在以发股还债模式开展市场化债转股时，应在市场化债转股协议中明确偿还的具体债务，并在资金到位后及时偿还债务。</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　四、支持各类所有制企业开展市场化债转股。</w:t>
      </w:r>
      <w:r>
        <w:rPr>
          <w:rFonts w:hint="eastAsia" w:ascii="华文楷体" w:hAnsi="华文楷体" w:eastAsia="华文楷体" w:cs="华文楷体"/>
          <w:b w:val="0"/>
          <w:bCs/>
          <w:sz w:val="24"/>
          <w:szCs w:val="24"/>
        </w:rPr>
        <w:t>相关市场主体依据国家政策导向自主协商确定市场化债转股对象企业，不限定对象企业所有制性质。支持符合《意见》规定的各类非国有企业，如民营企业、外资企业开展市场化债转股。</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五、允许将除银行债权外的其他类型债权纳入转股债权范围。</w:t>
      </w:r>
      <w:r>
        <w:rPr>
          <w:rFonts w:hint="eastAsia" w:ascii="华文楷体" w:hAnsi="华文楷体" w:eastAsia="华文楷体" w:cs="华文楷体"/>
          <w:b w:val="0"/>
          <w:bCs/>
          <w:sz w:val="24"/>
          <w:szCs w:val="24"/>
        </w:rPr>
        <w:t>转股债权范围以银行对企业发放贷款形成的债权为主，并适当考虑其他类型债权，包括但不限于财务公司贷款债权、委托贷款债权、融资租赁债权、经营性债权等，但不包括民间借贷形成的债权。银行所属实施机构开展市场化债转股所收购的债权或所偿还的债务范围原则上限于银行贷款，适当考虑其他类型银行债权和非银行金融机构债权。</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六、允许实施机构受让各种质量分级类型债权。</w:t>
      </w:r>
      <w:r>
        <w:rPr>
          <w:rFonts w:hint="eastAsia" w:ascii="华文楷体" w:hAnsi="华文楷体" w:eastAsia="华文楷体" w:cs="华文楷体"/>
          <w:b w:val="0"/>
          <w:bCs/>
          <w:sz w:val="24"/>
          <w:szCs w:val="24"/>
        </w:rPr>
        <w:t>银行所属实施机构、金融资产管理公司、国有资本投资运营公司、保险资产管理机构可以市场化债转股为目的受让各种质量分级类型债权，包括银行正常类、关注类、不良类贷款；银行可以向所属实施机构、金融资产管理公司、国有资本投资运营公司、保险资产管理机构以债转股为目的转让各种质量分级类型银行债权，包括正常类、关注类、不良类贷款；银行应按照公允价值向实施机构转让贷款，因转让形成的折价损失可按规定核销。</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　七、允许上市公司、非上市公众公司发行权益类融资工具实施市场化债转股。</w:t>
      </w:r>
      <w:r>
        <w:rPr>
          <w:rFonts w:hint="eastAsia" w:ascii="华文楷体" w:hAnsi="华文楷体" w:eastAsia="华文楷体" w:cs="华文楷体"/>
          <w:b w:val="0"/>
          <w:bCs/>
          <w:sz w:val="24"/>
          <w:szCs w:val="24"/>
        </w:rPr>
        <w:t>符合条件的上市公司、非上市公众公司可以向实施机构发行普通股、优先股或可转换债券等方式募集资金偿还债务。</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八、允许以试点方式开展非上市非公众股份公司银行债权转为优先股。</w:t>
      </w:r>
      <w:r>
        <w:rPr>
          <w:rFonts w:hint="eastAsia" w:ascii="华文楷体" w:hAnsi="华文楷体" w:eastAsia="华文楷体" w:cs="华文楷体"/>
          <w:b w:val="0"/>
          <w:bCs/>
          <w:sz w:val="24"/>
          <w:szCs w:val="24"/>
        </w:rPr>
        <w:t>根据《意见》中实施机构和企业自主协商确定转股条件等相关规定，实施机构可以将债权转为非上市非公众股份公司优先股；在正式发布有关非上市非公众股份公司发行优先股政策前，对于拟实施债转优先股的非上市非公众股份公司市场化债转股项目，实施机构须事先向积极稳妥降低企业杠杆率工作部际联席会议（以下简称部际联席会议）办公室报送方案，经同意后以试点方式开展。</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　九、鼓励规范市场化债转股模式创新。</w:t>
      </w:r>
      <w:r>
        <w:rPr>
          <w:rFonts w:hint="eastAsia" w:ascii="华文楷体" w:hAnsi="华文楷体" w:eastAsia="华文楷体" w:cs="华文楷体"/>
          <w:b w:val="0"/>
          <w:bCs/>
          <w:sz w:val="24"/>
          <w:szCs w:val="24"/>
        </w:rPr>
        <w:t>鼓励银行、实施机构和企业在现行制度框架下，在市场化债转股操作方式、资金筹集和企业改革等方面探索创新，并优先采取对去杠杆、降成本、促改革、推转型综合效果好的业务模式。对于现行政策要求不明确，或需调整现行政策的市场化债转股创新模式，应报送部际联席会议办公室并经部际联席会议办公室会同相关部门研究反馈后再行开展。</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r>
        <w:rPr>
          <w:rFonts w:hint="eastAsia" w:ascii="华文楷体" w:hAnsi="华文楷体" w:eastAsia="华文楷体" w:cs="华文楷体"/>
          <w:b/>
          <w:bCs w:val="0"/>
          <w:sz w:val="24"/>
          <w:szCs w:val="24"/>
        </w:rPr>
        <w:t>十、规范市场化债转股项目信息报送管理。</w:t>
      </w:r>
      <w:r>
        <w:rPr>
          <w:rFonts w:hint="eastAsia" w:ascii="华文楷体" w:hAnsi="华文楷体" w:eastAsia="华文楷体" w:cs="华文楷体"/>
          <w:b w:val="0"/>
          <w:bCs/>
          <w:sz w:val="24"/>
          <w:szCs w:val="24"/>
        </w:rPr>
        <w:t>对股债结合的综合性降杠杆方案，在框架协议签署环节，报送总协议金额和拟最终增加的企业股权权益金额，并以后者作为债转股签约金额；在资金到位环节报送到位资金数额和企业股权权益增加金额；在协议所约定转股股权全部完成环节报送经会计师事务所认定的股权金额，作为项目实际转股金额。实施机构在报送债转股项目信息时，应明确说明与企业所签协议的性质，具有法律约束力的实质性合同金额计入签约金额，意向性营销性协议金额不再计入签约金额。</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部际联席会议将组织协调加快《意见》相关政策的落实。落实税收政策，符合条件的市场化债转股企业可按规定享受企业重组相关税收优惠政策；适应开展市场化债转股工作的实际需要，有关部门将研究采取适当支持方式激励引导开展市场化债转股，依据市场化债转股业务规模、资金到位率、降杠杆质量等因素对相关银行和实施机构提供比较稳定的低成本中长期资金支持；在防止国有资产流失的前提下，提高国有企业转股定价的市场化程度，经批准，允许参考股票二级市场交易价格确定国有上市公司转股价格，允许参考竞争性市场报价或其他公允价格确定国有非上市公司转股价格。</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国家发展改革委</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人　民　银　行</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财　　政　　部</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银　　监　　会</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国务院国资委</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证　　监　　会</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保　　监　　会</w:t>
      </w: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2018年1月19日</w:t>
      </w:r>
    </w:p>
    <w:p>
      <w:pPr>
        <w:spacing w:line="360" w:lineRule="auto"/>
        <w:jc w:val="center"/>
        <w:rPr>
          <w:rFonts w:hint="eastAsia" w:ascii="华文中宋" w:hAnsi="华文中宋" w:eastAsia="华文中宋" w:cs="华文中宋"/>
          <w:b/>
          <w:bCs w:val="0"/>
          <w:sz w:val="24"/>
          <w:szCs w:val="24"/>
        </w:rPr>
      </w:pPr>
      <w:bookmarkStart w:id="2" w:name="人民银行海洋局等八部委联合印发《关于改进和加强海洋经济发展金融服务的指导意"/>
      <w:r>
        <w:rPr>
          <w:rFonts w:hint="eastAsia" w:ascii="华文中宋" w:hAnsi="华文中宋" w:eastAsia="华文中宋" w:cs="华文中宋"/>
          <w:b/>
          <w:bCs w:val="0"/>
          <w:sz w:val="24"/>
          <w:szCs w:val="24"/>
        </w:rPr>
        <w:t>人民银行 海洋局等八部委联合印发《关于改进和加强</w:t>
      </w:r>
    </w:p>
    <w:p>
      <w:pPr>
        <w:spacing w:line="360" w:lineRule="auto"/>
        <w:jc w:val="center"/>
        <w:rPr>
          <w:rFonts w:hint="eastAsia" w:ascii="华文中宋" w:hAnsi="华文中宋" w:eastAsia="华文中宋" w:cs="华文中宋"/>
          <w:b/>
          <w:bCs w:val="0"/>
          <w:sz w:val="24"/>
          <w:szCs w:val="24"/>
        </w:rPr>
      </w:pPr>
      <w:r>
        <w:rPr>
          <w:rFonts w:hint="eastAsia" w:ascii="华文中宋" w:hAnsi="华文中宋" w:eastAsia="华文中宋" w:cs="华文中宋"/>
          <w:b/>
          <w:bCs w:val="0"/>
          <w:sz w:val="24"/>
          <w:szCs w:val="24"/>
        </w:rPr>
        <w:t>海洋经济发展金融服务的指导意见》</w:t>
      </w:r>
    </w:p>
    <w:bookmarkEnd w:id="2"/>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2018年1月25日 来源：沟通交流、中国人民银行</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为深入贯彻落实党的十九大关于“加快建设海洋强国”、“增强金融服务实体经济能力”和“十三五”规划“拓展蓝色经济空间”、“推进‘一带一路’建设”的重大战略部署，统筹优化金融资源，改进和加强海洋经济发展金融服务，推动海洋经济向质量效益型转变，人民银行、海洋局、发展改革委、工业和信息化部、财政部、银监会、证监会、保监会八部委日前联合印发了《关于改进和加强海洋经济发展金融服务的指导意见》（以下简称《意见》）。</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意见》紧紧围绕推动海洋经济高质量发展，明确了银行、证券、保险、多元化融资等领域的支持重点和方向。在银行信贷方面，鼓励有条件的银行业金融机构设立海洋经济金融服务事业部、金融服务中心或特色专营机构，提升专业化服务水平；结合海洋经济特点，加大涉海抵质押贷款业务创新推广，对于海洋基础设施建设和重大项目、产业链企业、渔民等不同主体，给予针对性支持；鼓励银行业金融机构围绕全国海洋经济发展规划，优化信贷投向和结构，支持海洋经济一、二、三产业重点领域加快发展；明确加强涉海企业环境和社会风险审查，坚持“环保一票否决制”。在股权、债券方面，引导处于不同发展阶段的涉海企业，积极通过多层次资本市场获得融资支持。在保险方面，强调规范发展各类互助保险，探索巨灾保险和再保险机制，加快发展航运险、滨海旅游险、环境责任险等，扩大出口信用保险覆盖范围；鼓励保险资金通过专业资产管理机构、海洋产业投资基金等方式，加大投资力度。在多元化融资方面，支持符合条件的金融机构和企业发起设立金融租赁公司；推动航运金融发展，加快政府和社会资本合作（PPP）、投贷联动等模式在海洋领域的规范推广；积极发挥各类基金对于海洋经济发展的支持作用。</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意见》提出，要健全投融资服务体系，搭建海洋产业投融资公共服务平台，建立优质项目数据库，建立健全以互联网为基础、全国集中统一的海洋产权抵质押登记制度，建立统一的涉海产权评估标准。加大海洋经济示范区建设支持力度，探索以金融支持蓝色经济发展为主题的金融改革创新。鼓励海洋经济重点地区的银行业金融机构加强金融支持海洋经济发展的统计监测和效果评估。（完）</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附件：中国人民银行 国家海洋局 发展改革委 工业和信息化部 财政部 银监会 证监会 保监会关于改进和加强海洋经济发展金融服务的指导意见</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jc w:val="center"/>
        <w:rPr>
          <w:rFonts w:hint="eastAsia" w:ascii="华文中宋" w:hAnsi="华文中宋" w:eastAsia="华文中宋" w:cs="华文中宋"/>
          <w:b/>
          <w:bCs w:val="0"/>
          <w:sz w:val="22"/>
          <w:szCs w:val="22"/>
          <w:lang w:val="en-US" w:eastAsia="zh-CN"/>
        </w:rPr>
      </w:pPr>
      <w:r>
        <w:rPr>
          <w:rFonts w:hint="eastAsia" w:ascii="华文中宋" w:hAnsi="华文中宋" w:eastAsia="华文中宋" w:cs="华文中宋"/>
          <w:b/>
          <w:bCs w:val="0"/>
          <w:sz w:val="22"/>
          <w:szCs w:val="22"/>
          <w:lang w:val="en-US" w:eastAsia="zh-CN"/>
        </w:rPr>
        <w:t>中国人民银行 国家海洋局 发展改革委</w:t>
      </w:r>
    </w:p>
    <w:p>
      <w:pPr>
        <w:spacing w:line="360" w:lineRule="auto"/>
        <w:jc w:val="center"/>
        <w:rPr>
          <w:rFonts w:hint="eastAsia" w:ascii="华文中宋" w:hAnsi="华文中宋" w:eastAsia="华文中宋" w:cs="华文中宋"/>
          <w:b/>
          <w:bCs w:val="0"/>
          <w:sz w:val="22"/>
          <w:szCs w:val="22"/>
          <w:lang w:val="en-US" w:eastAsia="zh-CN"/>
        </w:rPr>
      </w:pPr>
      <w:r>
        <w:rPr>
          <w:rFonts w:hint="eastAsia" w:ascii="华文中宋" w:hAnsi="华文中宋" w:eastAsia="华文中宋" w:cs="华文中宋"/>
          <w:b/>
          <w:bCs w:val="0"/>
          <w:sz w:val="22"/>
          <w:szCs w:val="22"/>
          <w:lang w:val="en-US" w:eastAsia="zh-CN"/>
        </w:rPr>
        <w:t>工业和信息化部 财政部 银监会 证监会 保监会</w:t>
      </w:r>
    </w:p>
    <w:p>
      <w:pPr>
        <w:spacing w:line="360" w:lineRule="auto"/>
        <w:jc w:val="center"/>
        <w:rPr>
          <w:rFonts w:hint="eastAsia" w:ascii="华文中宋" w:hAnsi="华文中宋" w:eastAsia="华文中宋" w:cs="华文中宋"/>
          <w:b/>
          <w:bCs w:val="0"/>
          <w:sz w:val="22"/>
          <w:szCs w:val="22"/>
          <w:lang w:val="en-US" w:eastAsia="zh-CN"/>
        </w:rPr>
      </w:pPr>
      <w:r>
        <w:rPr>
          <w:rFonts w:hint="eastAsia" w:ascii="华文中宋" w:hAnsi="华文中宋" w:eastAsia="华文中宋" w:cs="华文中宋"/>
          <w:b/>
          <w:bCs w:val="0"/>
          <w:sz w:val="22"/>
          <w:szCs w:val="22"/>
          <w:lang w:val="en-US" w:eastAsia="zh-CN"/>
        </w:rPr>
        <w:t>关于改进和加强海洋经济发展金融服务的指导意见</w:t>
      </w: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银发〔2018〕7号</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为贯彻落实党的十九大“加快建设海洋强国”和“十三五”规划“拓展蓝色经济空间”、“推进‘一带一路’建设”的重大战略部署，立足服务实体经济，统筹优化金融资源，在风险可控和商业可持续的前提下，改进和加强海洋经济发展金融服务，推动海洋经济向质量效益型转变，现提出如下意见：</w:t>
      </w: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一、银行信贷服务方面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在符合监管政策的前提下，鼓励有条件的银行业金融机构设立海洋经济金融服务事业部，依法合规组建海洋渔业、船舶与海洋工程装备、航运、港口、物流、海洋科技等金融服务中心或特色专营机构，在业务权限、人员配置、财务资源等方面给予适度倾斜。有序推动民营银行常态化发展，提升对海洋经济重点地区小微企业的金融服务能力。</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鼓励银行业金融机构按照风险可控、商业可持续原则，开展海域、无居民海岛使用权抵押贷款业务。积极稳妥推动在建船舶、远洋船舶抵押贷款，推广渔船抵押贷款。发展出口退税托管账户、水产品仓单及码头、船坞、船台等涉海资产抵质押贷款业务。</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（三）鼓励采取银团贷款、组合贷款、联合授信等模式，支持海洋基础设施建设和重大项目。对协作紧密的海洋产业核心企业和配套中小企业，积极开展产业链融资。积极稳妥推广渔民“自助可循环”授信模式。</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四）鼓励银行业金融机构围绕全国海洋经济发展规划，优化信贷投向和结构。加大对规模化、标准化深远海养殖及远洋渔业企业、水产品精深加工和冷链物流企业的信贷支持力度。坚持有扶有控，重点支持列入“白名单”并有核心竞争力的船舶和海洋工程装备制造企业。加快推动海洋生物医药、海水淡化及综合利用、海洋新能源资源开发利用、海洋电子信息服务等新兴产业培育发展，促进海洋科技成果转化。积极开发适合滨海旅游、海洋交通运输业、港口物流园区等特点的金融产品和服务模式。</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（五）银行业金融机构应将涉海企业第一还款来源作为信贷审批的主要依据。加强押品管理，合理确定抵质押率，确保押品登记的有效性，强化贷后管理和检查，切实防控化解海洋领域信贷风险。</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六）银行业金融机构要加强涉海企业环境和社会风险审查，建立完善管理制度和流程，坚持执行“环保一票否决制”，加强涉海企业在环保等方面实质合规的审查。对涉及重大环境社会风险的授信，依法依规披露相关信息。</w:t>
      </w: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二、股权、债券融资方面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（七）积极支持符合条件的优质、成熟涉海企业在主板市场上市。探索建立海洋部门与证券监管部门的项目信息合作机制，加强中小涉海企业的培育、筛选和储备。</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八）支持成熟期优质涉海企业发行企业债、公司债、非金融企业债务融资工具。鼓励中小涉海企业发行中小企业集合票据、集合债券，支持符合条件的涉海企业发行“双创”专项债务融资工具和创新创业公司债券。对运作成熟、现金流稳定的海洋项目，探索发行资产支持证券。加大绿色债券的推广运用。</w:t>
      </w: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三、保险服务和保障方面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九）鼓励有条件的地方对海洋渔业保险给予补贴。规范发展渔船、渔工等渔业互助保险，积极探索将海水养殖等纳入互保范畴。探索建立海洋巨灾保险和再保险机制。加快发展航运保险、滨海旅游特色保险、海洋环境责任险、涉海企业贷款保证保险等。推广短期贸易险、海外投资保险，扩大出口信用保险在海洋领域的覆盖范围。</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（十）鼓励保险公司设立专业保险资产管理机构，加大对海洋产业的投资。鼓励保险资金投资设立海洋产业投资基金。鼓励中国保险投资基金加大对海洋领域重大项目和工程的投入。</w:t>
      </w: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四、多元化融资渠道方面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（十一）支持符合条件的金融机构和海洋工程装备企业、大型船舶企业依法依规按程序发起设立金融租赁公司。</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（十二）支持涉海企业在全口径跨境融资宏观审慎管理框架下进行跨境融资。推动航运金融发展，创新涉海套期保值金融工具。</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三）加快在海洋经济示范区基础设施建设、渔港建设、海水淡化和综合利用等领域规范推广政府和社会资本合作（PPP）模式。鼓励金融机构在依法合规、风险可控的前提下，运用投贷联动模式支持涉海科技型中小企业。</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（十四）积极引入创业投资基金、私募股权基金。发展壮大中国海洋发展基金会，积极发挥基金会在支持海洋经济发展方面的作用。</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五、投融资服务体系方面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（十五）加强政府、企业、金融机构信息共享，搭建海洋产业投融资公共服务平台。建立优质项目数据库，鼓励金融机构积极采选入库并获得海洋行政主管部门推荐的优质项目。</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（十六）建立健全以互联网为基础、全国集中统一的海洋产权抵质押登记制度。建立统一的涉海产权评估标准。规范海洋产权挂牌交易行为。</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六、政策保障方面</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七）加大信贷政策落实力度，指导金融机构改进完善海洋经济发展金融服务。运用再贷款、再贴现等货币政策工具，引导金融机构加大对海洋领域的信贷支持力度。进一步引导银行业金融机构提升风险定价能力，增强海洋经济企业贷款利率弹性。</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八）加大对海洋经济示范区建设的支持力度，从中选择海洋经济发展成熟、金融服务基础较好的区域，探索以金融支持蓝色经济发展为主题的金融改革创新，集中优势资源先行先试。鼓励政府支持的融资担保机构按规定开展海洋产业相关业务。</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（十九）加强金融、产业等政策协调配合。鼓励海洋经济重点地区的银行业金融机构加强金融支持海洋经济发展的统计监测和效果评估。</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请有关省、自治区、直辖市人民银行分支机构、海洋、发展改革、财政、工业和信息化主管部门、银监局、证监局、保监局等部门，将本意见联合转发至辖区相关机构，并结合当地实际，加强对海洋经济金融服务工作的组织领导，制定和完善本地区金融服务海洋经济发展的具体措施，协调做好本意见的贯彻实施工作。</w:t>
      </w:r>
    </w:p>
    <w:p>
      <w:pPr>
        <w:spacing w:line="360" w:lineRule="auto"/>
        <w:jc w:val="righ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中国人民银行   国家海洋局</w:t>
      </w:r>
    </w:p>
    <w:p>
      <w:pPr>
        <w:spacing w:line="360" w:lineRule="auto"/>
        <w:jc w:val="righ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发展改革委   工业和信息化部   财政部</w:t>
      </w:r>
    </w:p>
    <w:p>
      <w:pPr>
        <w:spacing w:line="360" w:lineRule="auto"/>
        <w:jc w:val="righ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银监会   证监会   保监会</w:t>
      </w:r>
    </w:p>
    <w:p>
      <w:pPr>
        <w:spacing w:line="360" w:lineRule="auto"/>
        <w:jc w:val="righ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2018年1月15日</w:t>
      </w: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right"/>
        <w:rPr>
          <w:rFonts w:hint="eastAsia" w:ascii="华文楷体" w:hAnsi="华文楷体" w:eastAsia="华文楷体" w:cs="华文楷体"/>
          <w:b w:val="0"/>
          <w:bCs/>
          <w:sz w:val="24"/>
          <w:szCs w:val="24"/>
          <w:lang w:val="en-US" w:eastAsia="zh-CN"/>
        </w:rPr>
      </w:pP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jc w:val="center"/>
        <w:rPr>
          <w:rFonts w:hint="eastAsia" w:ascii="华文中宋" w:hAnsi="华文中宋" w:eastAsia="华文中宋" w:cs="华文中宋"/>
          <w:b/>
          <w:bCs w:val="0"/>
          <w:sz w:val="24"/>
          <w:szCs w:val="24"/>
          <w:lang w:val="en-US" w:eastAsia="zh-CN"/>
        </w:rPr>
      </w:pPr>
      <w:bookmarkStart w:id="3" w:name="央行副行长陈雨露：发展征信要监管协调促进信息共享"/>
      <w:r>
        <w:rPr>
          <w:rFonts w:hint="eastAsia" w:ascii="华文中宋" w:hAnsi="华文中宋" w:eastAsia="华文中宋" w:cs="华文中宋"/>
          <w:b/>
          <w:bCs w:val="0"/>
          <w:sz w:val="24"/>
          <w:szCs w:val="24"/>
          <w:lang w:val="en-US" w:eastAsia="zh-CN"/>
        </w:rPr>
        <w:t>央行副行长陈雨露：发展征信要监管协调促进信息共享</w:t>
      </w:r>
      <w:bookmarkEnd w:id="3"/>
    </w:p>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日期：2018年1月25日 来源：新浪财经</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北京商报讯（记者 刘双霞）在互联网时代，征信体系的建设显得尤为重要。1月24日，央行副行长陈雨露在接受媒体采访时表示，现代市场经济是信用经济，构建现代化经济和金融体系必须以完善的社会信用体系为基础，核心是征信系统建设。平衡好促进征信业发展和保护个人信息之间的关系，关键是把握好三方面的监管协调，促进信息共享。</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陈雨露指出，征信业的本质是信息共享。如果没有有效的信息保护，就不可能有充分的信息共享，也就不可能有征信业。而信息共享需要监管进行协调。</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具体来看，监管协调包括，对信息提供方的监管协调，确保信息按照“最低、适用”的理念采集，确保信息准确性；对信息采集加工方的监管协调，确保征信机构行为遵循征信规则的要求，确保公正性和有效性；对信息使用方的监管协调，确保个人征信信息的依法有限使用，维护好信息主体权益。</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据了解，我国征信业起步于20世纪80年代，至今已基本构建成一个覆盖面较广、结构基本完备、以公共征信为主导的多层次征信体系。陈雨露介绍，从我国情况看，企业和个人的负债信息主要存在于三个领域，一是银证保等传统金融机构掌握的个人负债信息，人民银行征信中心运维的国家金融信用信息基础数据库已基本实现全覆盖；二是除银证保等传统金融机构之外的机构所掌握的个人负债信息，这个新兴领域需要市场化的个人征信机构来实现全覆盖。目前，人民银行正审慎从严批设市场化个人征信机构；三是行政司法机关所掌握的个人在履行法定义务过程中形成的负债信息，这个领域需征信机构通过信息共享实现全覆盖。</w:t>
      </w:r>
    </w:p>
    <w:p>
      <w:pPr>
        <w:spacing w:line="360" w:lineRule="auto"/>
        <w:ind w:firstLine="480"/>
        <w:jc w:val="righ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责任编辑：谢海平</w:t>
      </w:r>
    </w:p>
    <w:p>
      <w:pPr>
        <w:spacing w:line="360" w:lineRule="auto"/>
        <w:ind w:firstLine="480"/>
        <w:jc w:val="center"/>
        <w:rPr>
          <w:rFonts w:hint="eastAsia" w:ascii="华文中宋" w:hAnsi="华文中宋" w:eastAsia="华文中宋" w:cs="华文中宋"/>
          <w:b/>
          <w:bCs w:val="0"/>
          <w:sz w:val="24"/>
          <w:szCs w:val="24"/>
          <w:lang w:val="en-US" w:eastAsia="zh-CN"/>
        </w:rPr>
      </w:pPr>
      <w:bookmarkStart w:id="4" w:name="陈雨露为实体经济服务是金融的本分"/>
      <w:r>
        <w:rPr>
          <w:rFonts w:hint="eastAsia" w:ascii="华文中宋" w:hAnsi="华文中宋" w:eastAsia="华文中宋" w:cs="华文中宋"/>
          <w:b/>
          <w:bCs w:val="0"/>
          <w:sz w:val="24"/>
          <w:szCs w:val="24"/>
          <w:lang w:val="en-US" w:eastAsia="zh-CN"/>
        </w:rPr>
        <w:t>陈雨露:为实体经济服务是金融的本分</w:t>
      </w:r>
      <w:bookmarkEnd w:id="4"/>
    </w:p>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日期：2018年1月25日 来源：人民日报</w:t>
      </w:r>
    </w:p>
    <w:p>
      <w:pPr>
        <w:spacing w:line="36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367155" cy="2051050"/>
            <wp:effectExtent l="0" t="0" r="444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1367155" cy="2051050"/>
                    </a:xfrm>
                    <a:prstGeom prst="rect">
                      <a:avLst/>
                    </a:prstGeom>
                    <a:noFill/>
                    <a:ln w="9525">
                      <a:noFill/>
                    </a:ln>
                  </pic:spPr>
                </pic:pic>
              </a:graphicData>
            </a:graphic>
          </wp:inline>
        </w:drawing>
      </w:r>
    </w:p>
    <w:p>
      <w:pPr>
        <w:spacing w:line="360" w:lineRule="auto"/>
        <w:ind w:firstLine="480"/>
        <w:jc w:val="center"/>
        <w:rPr>
          <w:rFonts w:ascii="宋体" w:hAnsi="宋体" w:eastAsia="宋体" w:cs="宋体"/>
          <w:sz w:val="24"/>
          <w:szCs w:val="24"/>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实体经济是金融的根基，金融是实体经济的血脉。党的十九大报告提出，要深化金融体制改革，增强金融服务实体经济能力。金融业服务实体经济取得了哪些新进展?我国绿色金融发展得如何?与防风险密切相关的征信业下一步怎么走?近日，人民日报记者独家专访了中国人民银行副行长陈雨露。</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记者:</w:t>
      </w:r>
      <w:r>
        <w:rPr>
          <w:rFonts w:hint="eastAsia" w:ascii="华文楷体" w:hAnsi="华文楷体" w:eastAsia="华文楷体" w:cs="华文楷体"/>
          <w:sz w:val="24"/>
          <w:szCs w:val="24"/>
          <w:lang w:val="en-US" w:eastAsia="zh-CN"/>
        </w:rPr>
        <w:t>党的十九大报告提出，要深化金融体制改革，增强金融服务实体经济能力。近期金融业服务实体经济取得了哪些新进展?</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金融和实体经济的关系是金融业必须认真处理好的首要命题。为实体经济服务，满足经济社会发展需要，是金融的本分，金融只有在为实体经济服务中才能实现自身持续健康发展。这是金融业的初心和使命，是做好金融工作的根本遵循。</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随着中国特色社会主义进入新时代，金融服务实体经济的根本任务是以服务供给侧结构性改革为主线，推动经济发展质量变革、效率变革、动力变革，推动实体经济高质量发展。一段时期以来，金融部门认真实施稳健中性的货币政策，全面强化金融监管，整治金融市场乱象，防范化解金融风险，金融服务实体经济取得新进展。一是金融支持实体经济的力度较为稳固。2017年社会融资规模增量累计为19.4万亿元，比上年多1.6万亿元;2017年末，社会融资规模余额达174.6万亿元，同比增长12%。二是供给侧结构性改革相关金融服务不断强化。2017年末，高技术制造业、小微企业和涉农贷款同比增长22.5%、16.4%和9.6%，增速比上年末高3.5个、0.4个和2.5个百分点。三是影子银行规模增速放缓。2017年11月末，银行理财产品资产余额同比增长4.2%，增速比上年同期下降40.1个百分点。四是宏观杠杆率增幅趋缓。根据人民银行初步测算，2017年三季度末我国总杠杆率比2016年末高出3.7个百分点，增幅比2012-2016年平均增幅低9.6个百分点。</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上述取得的成绩还仅仅是初步和阶段性的。我国经济已由高速增长阶段转向高质量发展阶段，这对金融服务实体经济和防控金融风险提出了新的、更高的要求，金融服务实体经济永远在路上。</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记者</w:t>
      </w:r>
      <w:r>
        <w:rPr>
          <w:rFonts w:hint="eastAsia" w:ascii="华文楷体" w:hAnsi="华文楷体" w:eastAsia="华文楷体" w:cs="华文楷体"/>
          <w:sz w:val="24"/>
          <w:szCs w:val="24"/>
          <w:lang w:val="en-US" w:eastAsia="zh-CN"/>
        </w:rPr>
        <w:t>:党的十九大报告强调要发展绿色金融。这几年，我国绿色金融发展得如何?下一步该怎么干?</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:绿色金融的蓬勃发展是近年来我国金融领域的一大亮点。党的十八大以来，以习近平总书记为核心的党中央提出了新发展理念，高度重视绿色发展，为绿色金融的发展奠定了良好基础。</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当前，我国绿色金融呈现全面提速的良好发展态势，走在了国际前沿。一方面，顶层设计和基础性制度安排日趋完善。人民银行等七部委共同发布《关于构建绿色金融体系的指导意见》，统一的绿色项目界定标准、绿色金融标准等各项基础性工作稳步推进，在浙江、广东等五省(区)设立国家级绿色金融改革创新试验区，探索可复制可推广的经验。另一方面，绿色投融资工具日益丰富，金融生态环境进一步优化，国际合作亮点纷呈。由中国倡议设立、人民银行担任共同主席的G20绿色金融研究小组，提出的倡议写入G20领导人杭州峰会公报，大大推进了绿色金融议题的全球主流化进程。</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下一步，应着力提升绿色金融的可持续发展水平，更好地服务国家发展目标。重点包括:发挥宏观审慎评估体系等工具的正向激励作用，增强绿色金融市场的内在吸引力;加快构建国内统一、清晰可执行的绿色项目标准和绿色金融标准，着力提升国际话语权;加大绿色金融产品和服务体系创新，更好满足多元化投融资需求等。</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记者</w:t>
      </w:r>
      <w:r>
        <w:rPr>
          <w:rFonts w:hint="eastAsia" w:ascii="华文楷体" w:hAnsi="华文楷体" w:eastAsia="华文楷体" w:cs="华文楷体"/>
          <w:sz w:val="24"/>
          <w:szCs w:val="24"/>
          <w:lang w:val="en-US" w:eastAsia="zh-CN"/>
        </w:rPr>
        <w:t>:征信业的发展既与防范化解金融风险密切相关，也与每个人的生活息息相关。人民银行推动我国征信业发展的总体思路是什么?如何平衡好促进征信业发展和保护个人信息之间的关系?</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现代市场经济是信用经济，构建现代化经济和金融体系必须以完善的社会信用体系为基础，核心是征信系统建设。习近平总书记强调，对突出的诚信缺失问题，既要抓紧建立覆盖全社会的征信系统，又要完善守法诚信褒奖机制和违法失信惩戒机制，使人不敢失信、不能失信。</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建立覆盖全社会的征信系统，要充分发挥政府和市场双线推动的积极作用，推进征信服务对经济金融、社会生活和行政司法领域的全覆盖。从我国情况看，企业和个人的负债信息主要存在于三个领域。</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一是银证保等传统金融机构掌握的个人负债信息，人民银行征信中心运维的国家金融信用信息基础数据库已基本实现全覆盖。</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二是银证保等传统金融机构之外的机构所掌握的个人负债信息，这个新兴领域需要市场化的个人征信机构来实现全覆盖。目前，人民银行正审慎从严地批设市场化个人征信机构。</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三是行政司法机关所掌握的个人在履行法定义务过程中形成的负债信息，这个领域需征信机构通过信息共享实现全覆盖。</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征信业的本质是信息共享。如果没有有效的信息保护，就不可能有充分的信息共享，也就不可能有征信业。平衡好促进征信业发展和保护个人信息之间的关系，关键是把握好三方面的监管协调:对信息提供方的监管协调，确保信息按照"最低、适用"的理念采集，确保信息准确性;对信息采集加工方的监管协调，确保征信机构行为遵循征信规则的要求，确保公正性和有效性;对信息使用方的监管协调，确保个人征信信息的依法有限使用，维护好信息主体权益。</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记者:</w:t>
      </w:r>
      <w:r>
        <w:rPr>
          <w:rFonts w:hint="eastAsia" w:ascii="华文楷体" w:hAnsi="华文楷体" w:eastAsia="华文楷体" w:cs="华文楷体"/>
          <w:sz w:val="24"/>
          <w:szCs w:val="24"/>
          <w:lang w:val="en-US" w:eastAsia="zh-CN"/>
        </w:rPr>
        <w:t>"十三五"规划提出，统筹金融业综合统计，强化综合监管和功能监管。第五次全国金融工作会议提出，要推进金融业综合统计和监管信息共享。为何要如此重视金融业综合统计建设?</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金融业综合统计是国家金融基础设施现代化的重要组成部分，是金融业实现服务实体经济、防控金融风险、深化金融改革三项任务的重要信息基础支撑。习近平总书记强调，要推进金融业综合统计和监管信息共享，为金融业综合统计的改革发展指明了方向。</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金融业综合统计旨在实现对所有金融机构和金融活动的全流程、全链条动态统计监测，主要包括三个部分:金融业资产负债表和金融资金流量统计，这是综合的综合，具有统领地位，能够完整展现金融业的"家底";货币信贷统计和分业机构监管统计，这部分统计内容已经较为成熟;服务防范和化解系统性风险的统计，包括交叉性金融产品统计、系统重要性金融机构统计、金融控股公司统计、互联网金融统计等，这是需要重点补短板的内容。</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去年以来，根据中央的统一部署，人民银行会同相关部委，确定了以金融机构资产管理产品统计为突破口，加快建立覆盖所有金融机构、金融基础设施和金融活动的金融业综合统计体系的工作思路。目前，金融机构资产管理产品的综合统计制度已基本成熟，在此基础上，未来将加快建立统一标准、同步采集、集中校验、汇总共享的工作机制，持续推进金融业综合统计体系建设。</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本文来源:人民日报</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本文记者:王 观</w:t>
      </w:r>
    </w:p>
    <w:p>
      <w:pPr>
        <w:spacing w:line="360" w:lineRule="auto"/>
        <w:ind w:firstLine="480"/>
        <w:jc w:val="both"/>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延伸</w:t>
      </w: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阅读一</w:t>
      </w:r>
    </w:p>
    <w:p>
      <w:pPr>
        <w:spacing w:line="360" w:lineRule="auto"/>
        <w:ind w:firstLine="480"/>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陈雨露:中国金融发展的总体目标和基本原则</w:t>
      </w:r>
    </w:p>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来源：IMI财经观察</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陈雨露、马勇编著的《大金融论纲》从一个长期视角全面地审视了全球范围内金融体系发展的历史规律和演变趋势，构建了"大金融"命题下的现代金融体系发展理论。</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随着金融全球化、发展中国家金融市场化进程的加速，金融层面的发展和变革不仅会影响到金融体系内部元素的重构和演变，同时还会将这些变化投射到实体经济中来，从而使宏观实体经济的运行也发生相应的变革。随着经济金融化程度的不断加深，一方面使整个金融体系获得了一个相对独立的运行空间，大量的金融交易可以在一个虚拟的层面上展开而不需要实体经济的直接参与;另一方面，金融体系存在的根本基础依然在于其与实体经济的"联结面"上(更确切地说，促进资源优化配置)，因而，金融体系的基本功能依然需要在实体经济的发展要求中去寻找合适的实现形式。这意味着，金融的发展和创新既反映着实体经济的客观要求，同时还会以此为基础衍生出一个庞大的自我运行体系，从而反作用于实体经济，最终使实体经济呈现出新的运行机制和特征。</w:t>
      </w: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以下片段节选于</w:t>
      </w:r>
      <w:r>
        <w:rPr>
          <w:rFonts w:hint="eastAsia" w:ascii="华文楷体" w:hAnsi="华文楷体" w:eastAsia="华文楷体" w:cs="华文楷体"/>
          <w:b/>
          <w:bCs/>
          <w:sz w:val="24"/>
          <w:szCs w:val="24"/>
          <w:lang w:val="en-US" w:eastAsia="zh-CN"/>
        </w:rPr>
        <w:t>《"大金融"框架下的中国金融发展》</w:t>
      </w:r>
      <w:r>
        <w:rPr>
          <w:rFonts w:hint="eastAsia" w:ascii="华文楷体" w:hAnsi="华文楷体" w:eastAsia="华文楷体" w:cs="华文楷体"/>
          <w:sz w:val="24"/>
          <w:szCs w:val="24"/>
          <w:lang w:val="en-US" w:eastAsia="zh-CN"/>
        </w:rPr>
        <w:t>一节。</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以下为</w:t>
      </w:r>
      <w:r>
        <w:rPr>
          <w:rFonts w:hint="eastAsia" w:ascii="华文楷体" w:hAnsi="华文楷体" w:eastAsia="华文楷体" w:cs="华文楷体"/>
          <w:b/>
          <w:bCs/>
          <w:sz w:val="24"/>
          <w:szCs w:val="24"/>
          <w:lang w:val="en-US" w:eastAsia="zh-CN"/>
        </w:rPr>
        <w:t>节选全文:</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6.1.1中国金融发展的总体目标</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如第一章所述，从一个较长时期对主要大国发展历程进行考察便会发现，自18世纪后期发生工业革命以来，世界经济大体上经历了五次长周期，每一个长周期都对应着一次科技革命的爆发和新兴产业发展，进而引发整个经济社会的结构性转变。在上述转变过程中，多种力量的综合作用往往会诞生集产业优势、经济优势和金融优势于一身的新兴超级大国。</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根据熊彼特的长波理论，自进入工业化时代以来，人类社会大致已经经历了五个长周期。若以经济和产业领域内的重大事件作为区间划分，这五个长周期分别是:</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●工业革命(1771年)</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●蒸汽机与铁路时代(1829年)</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●钢铁、电力与重工程时代(1875年) (1873年是世界经济第一次大萧条)</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●石油、汽车与量产时代(1908年) (1929-1932是世界经济第二次大萧条)</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●信息与通信时代(1971年)</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上述理论推算，目前世界经济正处于第五个长周期的转折点，第六个长波即将展开。事实上，如果从更长期的视角来看待金融和经济发展之间的关系，可以发现，大国的金融崛起几乎总是与其经济崛起同步实现的。因此，对于中国而言，危机后的金融发展应该充分体现其战略定位，通过支持国家产业升级和经济转型，全面服务于国家经济和金融崛起的战略需要。</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大国发展的历史轨迹和长期规律，在未来40年，中国的金融发展要结合"技术创新与产业结构周期"、"国家经济崛起周期"和"货币金融替代周期"，全面支持中国完成产业升级、经济复兴和货币金融崛起，成为全球经济发展"第六个长周期"中的核心国家。如图6-1所示，我们将上述金融和经济协调发展、同步崛起的整体蓝图称为中国金融和经济发展的"长三周期战略框架"。</w:t>
      </w:r>
    </w:p>
    <w:p>
      <w:pPr>
        <w:spacing w:line="36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98875" cy="3005455"/>
            <wp:effectExtent l="0" t="0" r="15875"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3698875" cy="3005455"/>
                    </a:xfrm>
                    <a:prstGeom prst="rect">
                      <a:avLst/>
                    </a:prstGeom>
                    <a:noFill/>
                    <a:ln w="9525">
                      <a:noFill/>
                    </a:ln>
                  </pic:spPr>
                </pic:pic>
              </a:graphicData>
            </a:graphic>
          </wp:inline>
        </w:drawing>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客观地看待世界各国经济发展的一般规律，可以认为，在经过30多年的高速经济增长之后，随着劳动力成本的提升，人口和制度红利的效应逐渐减弱，粗放型增长所带来的资源承载压力不断增大，加之全球金融危机后世界经济进入漫长的调整恢复期，中国在传统模式下的高增长态势很难长期持续。在此背景下，如何通过有效转变经济发展方式来寻找新的经济增长动力，成为未来中国经济发展的必由之路。从目前的情况来看，在未来的5-10年，中国将面临经济发展的关键机遇期，能否抓住机遇深入推进各项改革，完成经济增长方式的转型，事关中国未来经济和社会发展的大局。在这一过程中，中国的金融发展模式和路径必须全面服务于国家经济社会发展的整体布局，并充分体现其战略导向。</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为完成上述目标，中国的金融发展应体现以下三个方面的战略定位:一是金融发展必须服务于经济增长和金融稳定，体现保障功能;二是金融发展必须服务于技术创新和产业升级，体现发展功能;三是金融发展必须服务于国家货币和金融产业的崛起，体现支撑功能。基于上述战略定位，中国未来的发展将呈现出金融和实体经济紧密结合、现代科技和现代金融"双轮驱动"的新型经济发展模式。</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6.1.2中国金融发展的基本原则</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导论中我们已经阐明，对应于"大金融"命题的三大基本内涵，中国的金融发展观应着力构建以下三大基础:一是理论基础，即中国的金融发展必须遵循经济金融运行的一般规律;二是价值基础，即中国的金融发展必须代表中国式经济增长的核心价值理念;三是实践基础，即中国的金融发展必须立足于自身特有的"国家禀赋"。三大基础的有机统一，构成了我们称之为"大金融"命题的理论支柱和核心价值体系。</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首先，从理论基础来看，中国作为一个开放发展的大型经济体，金融体系的改革和发展必须在科学总结全球主要国家金融发展经验的基础上，通过宏微观金融理论的系统整合，全面总结和梳理出现代金融体系发展的若干基本规律，并以此作为金融体系改革和发展整体蓝图和实践路径设计的基本理论依据。</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其次，从价值基础来看，中国的金融发展必须树立扎根实体经济、服务实体经济的基本价值理念，通过构建高效而稳定的现代金融体系，促进金融和实体经济的长期共同稳定和共同发展，只有将资产增值、资本积累和经济增长建立在真实的财富创造基础之上，才能通过惠及民众的金融发展和经济增长实现国家经济复兴。</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再次，从实践基础来看，在金融全球化和世界经济一体化的背景下，中国的金融改革和发展既要遵循经济和金融体系运行的一般规律，又要切实立足于自身的"国家禀赋"，只有将全球金融发展的普遍规律和中国的具体情况有效结合，才能在实践中真正探索出一条适合中国国情的金融发展道路，并建立与之相适应的产业模式和制度框架。</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总体来看，上述三个基本原则构成了开放条件下中国新型金融发展观的核心理论基础。这一理论基础的关键要点在于通过将理论的有效性、价值的真实性和实践的务实性紧密结合，全面塑造有利于长期经济发展的金融体系整体框架。从逻辑联结的角度来看，基于"大金融"命题的中国新型金融发展观可由图6-2表示。</w:t>
      </w:r>
    </w:p>
    <w:p>
      <w:pPr>
        <w:spacing w:line="360" w:lineRule="auto"/>
        <w:ind w:firstLine="480"/>
        <w:jc w:val="left"/>
        <w:rPr>
          <w:rFonts w:ascii="宋体" w:hAnsi="宋体" w:eastAsia="宋体" w:cs="宋体"/>
          <w:sz w:val="24"/>
          <w:szCs w:val="24"/>
        </w:rPr>
      </w:pPr>
      <w:r>
        <w:rPr>
          <w:rFonts w:ascii="宋体" w:hAnsi="宋体" w:eastAsia="宋体" w:cs="宋体"/>
          <w:sz w:val="24"/>
          <w:szCs w:val="24"/>
        </w:rPr>
        <w:drawing>
          <wp:inline distT="0" distB="0" distL="114300" distR="114300">
            <wp:extent cx="3860165" cy="2237740"/>
            <wp:effectExtent l="0" t="0" r="6985"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3860165" cy="2237740"/>
                    </a:xfrm>
                    <a:prstGeom prst="rect">
                      <a:avLst/>
                    </a:prstGeom>
                    <a:noFill/>
                    <a:ln w="9525">
                      <a:noFill/>
                    </a:ln>
                  </pic:spPr>
                </pic:pic>
              </a:graphicData>
            </a:graphic>
          </wp:inline>
        </w:drawing>
      </w:r>
    </w:p>
    <w:p>
      <w:pPr>
        <w:spacing w:line="360" w:lineRule="auto"/>
        <w:ind w:firstLine="480"/>
        <w:jc w:val="left"/>
        <w:rPr>
          <w:rFonts w:hint="eastAsia" w:ascii="宋体" w:hAnsi="宋体" w:eastAsia="宋体" w:cs="宋体"/>
          <w:sz w:val="24"/>
          <w:szCs w:val="24"/>
          <w:lang w:val="en-US" w:eastAsia="zh-CN"/>
        </w:rPr>
      </w:pPr>
    </w:p>
    <w:p>
      <w:pPr>
        <w:spacing w:line="360" w:lineRule="auto"/>
        <w:ind w:firstLine="480"/>
        <w:jc w:val="left"/>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延伸</w:t>
      </w:r>
    </w:p>
    <w:p>
      <w:pPr>
        <w:spacing w:line="360" w:lineRule="auto"/>
        <w:ind w:firstLine="48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阅读二</w:t>
      </w:r>
    </w:p>
    <w:p>
      <w:pPr>
        <w:spacing w:line="360" w:lineRule="auto"/>
        <w:ind w:firstLine="480"/>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陈雨露:需深入研究Fintech 对全球金融稳定的影响</w:t>
      </w:r>
    </w:p>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 xml:space="preserve">来源:财新网 </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雨露指出，人民银行推动的基于区块链的数字票据交易平台，走在了区块链技术实际应用的全球前列。"下一步，需要深入研究区块链技术等金融科技对个人资产安全、隐私保护、全球金融稳定以及对全球金融治理架构的影响。"</w:t>
      </w:r>
    </w:p>
    <w:p>
      <w:pPr>
        <w:spacing w:line="36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906395" cy="1939290"/>
            <wp:effectExtent l="0" t="0" r="8255"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2"/>
                    <a:stretch>
                      <a:fillRect/>
                    </a:stretch>
                  </pic:blipFill>
                  <pic:spPr>
                    <a:xfrm>
                      <a:off x="0" y="0"/>
                      <a:ext cx="2906395" cy="1939290"/>
                    </a:xfrm>
                    <a:prstGeom prst="rect">
                      <a:avLst/>
                    </a:prstGeom>
                    <a:noFill/>
                    <a:ln w="9525">
                      <a:noFill/>
                    </a:ln>
                  </pic:spPr>
                </pic:pic>
              </a:graphicData>
            </a:graphic>
          </wp:inline>
        </w:drawing>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年3月24日，中国人民银行副行长陈雨露在"2017年中国金融学会学术年会暨中国金融论坛年会"上表示，金融科技已经成为金融业重要的发展趋势，其中，区块链技术开发与数字货币的发行、使用与国际监管是当前研究的重点和前沿领域，部分中央银行和金融机构正积极探索区块链技术在金融领域的应用。人民银行推动的基于区块链的数字票据交易平台，走在了区块链技术实际应用的全球前列。"下一步，需要深入研究区块链技术等金融科技对个人资产安全、隐私保护、全球金融稳定以及对全球金融治理架构的影响。"陈雨露表示。</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前述主题是2008年以来，世界范围内的中央银行研究的四大主题之一。陈雨露指出，这四大主题主要包括:把金融因素系统性地引入宏观经济学一般均衡模型;非常规货币政策的全球实验及其正常化;宏观审慎政策与系统性金融风险防范;金融发展的新理念及其实践。</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第一个主题方面，危机后，越来越多的学者和央行研究人员达成了重要共识，即宏观经济和金融理论需要在全面纳入内生性金融体系的基础上予以系统重构，在一个更高的层面上形成一个逻辑自洽的、同时包含"金融-实体经济-政策"相互作用的新理论框架。其中，引入金融市场波动顺周期性和"超调"作为金融行为范式的基本假定，是近年来宏观经济学认识论上的一个很大突破。除了系统性地引入金融因素外，还可能需要考虑异质性微观主体、开放条件和通胀动态机制等与此相关的一揽子问题。</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对于第二个主题，陈雨露表示，非常规货币政策的大规模、长期使用，是本轮国际金融危机爆发以来主要发达经济体央行政策实践的鲜明特征之一。这是全球金融发展史上史无前例的重大实验。从概念上看，非常规货币政策措施主要有两大类型:第一类是在严重冲击之后，中央银行为恢复金融市场和金融中介功能以及缓解金融体系脆弱性等方面的政策。第二类是在利率接近零下限情况下，通过对前瞻性指引或者大规模资产购买，为经济活动提供支持的一系列政策。</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他强调说，从政策效果看，在危机最严重的时刻，短期内产生了积极的溢出效应。但越来越多的经济学家开始质疑非常规货币政策的有效性和弊端。"未来一段时期，有关非常规货币政策的退出路径、退出策略，以及政策退出的溢出效应等课题，亟待各国央行进一步的研究成果。"</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近年来中国政府提出了以供给侧结构性改革为主线的政策框架。在货币政策操作上，注重为供给侧结构性改革创造适宜的货币金融环境。</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第三个主题，危机以来，宏观审慎政策已经成为全球范围内金融监管和宏观调控框架改革的重心。同时，宏观审慎政策的实践发展非常快，基本形成了包含目标、评估、工具、政策实施与传导、治理架构等在内的宏观审慎政策框架。</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对此，陈雨露表示，中国央行已明确提出探索建立"货币政策+宏观审慎政策"双支柱政策框架，积极探索货币政策与宏观审慎政策的协调配合。今后，还要在借鉴国际经验基础上，统筹做好系统重要性金融机构、金融基础设施和金融综合信息统计的管理工作，牢牢守住不发生系统性金融风险的底线。</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目前，中国央行在探索建立符合中国国情的宏观审慎政策框架方面进行了积极的探索。2004年实行差别存款准备金制度，分类开展信贷政策，这都体现了宏观审慎政策的思想。2009年人民银行开始系统研究宏观审慎政策框架，2011年引入差别准备金动态调整制度，并在2015年将其升级为宏观审慎评估体系(MPA)，当年又将外汇流动性和跨境资金流动纳入了宏观审慎管理范畴。</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第四个主题方面，陈雨露指出，实现金融服务实体经济的本质要求，途径和方式很多，需要不断探索和创新。人民银行将中央提出的创新、协调、绿色、开放和共享五大新发展理念贯穿于金融改革发展稳定的全过程，尤其是在绿色金融、普惠金融、金融科技(FinTech)等领域，在理论和实践上进行了积极探索和有益创新。</w:t>
      </w:r>
    </w:p>
    <w:p>
      <w:pPr>
        <w:spacing w:line="360" w:lineRule="auto"/>
        <w:ind w:firstLine="480"/>
        <w:jc w:val="right"/>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 xml:space="preserve">延伸阅读二来源:财新网 </w:t>
      </w:r>
    </w:p>
    <w:p>
      <w:pPr>
        <w:spacing w:line="360" w:lineRule="auto"/>
        <w:ind w:firstLine="480"/>
        <w:jc w:val="right"/>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延伸阅读二作者:张宇哲</w:t>
      </w:r>
    </w:p>
    <w:p>
      <w:pPr>
        <w:spacing w:line="360" w:lineRule="auto"/>
        <w:jc w:val="both"/>
        <w:rPr>
          <w:rFonts w:hint="eastAsia" w:ascii="华文楷体" w:hAnsi="华文楷体" w:eastAsia="华文楷体" w:cs="华文楷体"/>
          <w:b/>
          <w:bCs/>
          <w:i w:val="0"/>
          <w:caps w:val="0"/>
          <w:color w:val="444444"/>
          <w:spacing w:val="0"/>
          <w:sz w:val="24"/>
          <w:szCs w:val="24"/>
          <w:shd w:val="clear" w:fill="FFFFFF"/>
        </w:rPr>
      </w:pPr>
      <w:r>
        <w:rPr>
          <w:rFonts w:hint="eastAsia" w:ascii="华文中宋" w:hAnsi="华文中宋" w:eastAsia="华文中宋" w:cs="华文中宋"/>
          <w:b/>
          <w:bCs/>
          <w:i w:val="0"/>
          <w:caps w:val="0"/>
          <w:color w:val="444444"/>
          <w:spacing w:val="0"/>
          <w:sz w:val="24"/>
          <w:szCs w:val="24"/>
          <w:shd w:val="clear" w:fill="FFFFFF"/>
        </w:rPr>
        <w:t>延伸</w:t>
      </w:r>
      <w:r>
        <w:rPr>
          <w:rFonts w:hint="eastAsia" w:ascii="华文中宋" w:hAnsi="华文中宋" w:eastAsia="华文中宋" w:cs="华文中宋"/>
          <w:b/>
          <w:bCs/>
          <w:i w:val="0"/>
          <w:caps w:val="0"/>
          <w:color w:val="444444"/>
          <w:spacing w:val="0"/>
          <w:sz w:val="24"/>
          <w:szCs w:val="24"/>
          <w:shd w:val="clear" w:fill="FFFFFF"/>
        </w:rPr>
        <w:br w:type="textWrapping"/>
      </w:r>
      <w:r>
        <w:rPr>
          <w:rFonts w:hint="eastAsia" w:ascii="华文楷体" w:hAnsi="华文楷体" w:eastAsia="华文楷体" w:cs="华文楷体"/>
          <w:b/>
          <w:bCs/>
          <w:i w:val="0"/>
          <w:caps w:val="0"/>
          <w:color w:val="444444"/>
          <w:spacing w:val="0"/>
          <w:sz w:val="24"/>
          <w:szCs w:val="24"/>
          <w:shd w:val="clear" w:fill="FFFFFF"/>
        </w:rPr>
        <w:t>阅读三</w:t>
      </w:r>
    </w:p>
    <w:p>
      <w:pPr>
        <w:spacing w:line="360" w:lineRule="auto"/>
        <w:jc w:val="center"/>
        <w:rPr>
          <w:rFonts w:hint="eastAsia" w:ascii="华文中宋" w:hAnsi="华文中宋" w:eastAsia="华文中宋" w:cs="华文中宋"/>
          <w:b/>
          <w:bCs/>
          <w:i w:val="0"/>
          <w:caps w:val="0"/>
          <w:color w:val="444444"/>
          <w:spacing w:val="0"/>
          <w:sz w:val="24"/>
          <w:szCs w:val="24"/>
          <w:shd w:val="clear" w:fill="FFFFFF"/>
          <w:lang w:val="en-US" w:eastAsia="zh-CN"/>
        </w:rPr>
      </w:pPr>
      <w:r>
        <w:rPr>
          <w:rFonts w:hint="eastAsia" w:ascii="华文中宋" w:hAnsi="华文中宋" w:eastAsia="华文中宋" w:cs="华文中宋"/>
          <w:b/>
          <w:bCs/>
          <w:i w:val="0"/>
          <w:caps w:val="0"/>
          <w:color w:val="444444"/>
          <w:spacing w:val="0"/>
          <w:sz w:val="24"/>
          <w:szCs w:val="24"/>
          <w:shd w:val="clear" w:fill="FFFFFF"/>
          <w:lang w:val="en-US" w:eastAsia="zh-CN"/>
        </w:rPr>
        <w:t>陈雨露:我国绿色金融发展正全面提速</w:t>
      </w:r>
    </w:p>
    <w:p>
      <w:pPr>
        <w:spacing w:line="360" w:lineRule="auto"/>
        <w:ind w:firstLine="420" w:firstLineChars="200"/>
        <w:jc w:val="center"/>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源:新华社、中国金融信息网</w:t>
      </w:r>
    </w:p>
    <w:p>
      <w:pPr>
        <w:spacing w:line="360" w:lineRule="auto"/>
        <w:ind w:firstLine="480" w:firstLineChars="200"/>
        <w:jc w:val="both"/>
        <w:rPr>
          <w:rFonts w:hint="eastAsia" w:ascii="华文楷体" w:hAnsi="华文楷体" w:eastAsia="华文楷体" w:cs="华文楷体"/>
          <w:b w:val="0"/>
          <w:bCs w:val="0"/>
          <w:i w:val="0"/>
          <w:caps w:val="0"/>
          <w:color w:val="auto"/>
          <w:spacing w:val="0"/>
          <w:sz w:val="24"/>
          <w:szCs w:val="24"/>
          <w:shd w:val="clear" w:color="auto" w:fill="auto"/>
          <w:lang w:val="en-US" w:eastAsia="zh-CN"/>
        </w:rPr>
      </w:pPr>
      <w:r>
        <w:rPr>
          <w:rFonts w:hint="eastAsia" w:ascii="华文楷体" w:hAnsi="华文楷体" w:eastAsia="华文楷体" w:cs="华文楷体"/>
          <w:b w:val="0"/>
          <w:bCs w:val="0"/>
          <w:i w:val="0"/>
          <w:caps w:val="0"/>
          <w:color w:val="auto"/>
          <w:spacing w:val="0"/>
          <w:sz w:val="24"/>
          <w:szCs w:val="24"/>
          <w:shd w:val="clear" w:color="auto" w:fill="auto"/>
          <w:lang w:val="en-US" w:eastAsia="zh-CN"/>
        </w:rPr>
        <w:t>中国人民银行副行长陈雨露表示，下一步，相关部门将会研究统一我国绿色债券的界定标准，提出绿色债券认证的规范意见，进一步强化信息披露要求，推动建立绿色债券的业界自律机制，努力将我国的绿色债券市场打造成为一个规范、活跃、透明和健康的绿色融资平台。</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718435" cy="2038985"/>
            <wp:effectExtent l="0" t="0" r="5715" b="1841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3"/>
                    <a:stretch>
                      <a:fillRect/>
                    </a:stretch>
                  </pic:blipFill>
                  <pic:spPr>
                    <a:xfrm>
                      <a:off x="0" y="0"/>
                      <a:ext cx="2718435" cy="2038985"/>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今年政府工作报告强调，要"大力发展绿色金融"。2016年中国人民银行等七部委联合发布了《关于构建绿色金融体系的指导意见》。中国证券报记者就我国绿色金融发展的进展和展望，专访了中国人民银行副行长陈雨露。</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b/>
          <w:bCs/>
          <w:i w:val="0"/>
          <w:iCs w:val="0"/>
          <w:color w:val="0000FF"/>
          <w:sz w:val="24"/>
          <w:szCs w:val="24"/>
          <w:lang w:val="en-US" w:eastAsia="zh-CN"/>
        </w:rPr>
      </w:pPr>
      <w:r>
        <w:rPr>
          <w:rFonts w:hint="eastAsia" w:ascii="华文楷体" w:hAnsi="华文楷体" w:eastAsia="华文楷体" w:cs="华文楷体"/>
          <w:b/>
          <w:bCs/>
          <w:i w:val="0"/>
          <w:iCs w:val="0"/>
          <w:color w:val="0000FF"/>
          <w:sz w:val="24"/>
          <w:szCs w:val="24"/>
          <w:lang w:val="en-US" w:eastAsia="zh-CN"/>
        </w:rPr>
        <w:t>加快构建绿色金融体系</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中国证券报:</w:t>
      </w:r>
      <w:r>
        <w:rPr>
          <w:rFonts w:hint="eastAsia" w:ascii="华文楷体" w:hAnsi="华文楷体" w:eastAsia="华文楷体" w:cs="华文楷体"/>
          <w:sz w:val="24"/>
          <w:szCs w:val="24"/>
          <w:lang w:val="en-US" w:eastAsia="zh-CN"/>
        </w:rPr>
        <w:t>大家注意到，政府工作报告连续两年强调要"大力发展绿色金融"，绿色金融的理念日益深入人心。请介绍一下我国绿色金融发展的时代背景。</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i w:val="0"/>
          <w:iCs w:val="0"/>
          <w:sz w:val="24"/>
          <w:szCs w:val="24"/>
          <w:lang w:val="en-US" w:eastAsia="zh-CN"/>
        </w:rPr>
        <w:t>陈雨露</w:t>
      </w:r>
      <w:r>
        <w:rPr>
          <w:rFonts w:hint="eastAsia" w:ascii="华文楷体" w:hAnsi="华文楷体" w:eastAsia="华文楷体" w:cs="华文楷体"/>
          <w:sz w:val="24"/>
          <w:szCs w:val="24"/>
          <w:lang w:val="en-US" w:eastAsia="zh-CN"/>
        </w:rPr>
        <w:t>:改革开放三十多年来，我国经济社会发展取得了举世瞩目的伟大成就，但由于多方面原因，也面临严峻的生态环境问题。新发展理念，强调要坚持绿色发展，加快转变经济发展方式，大力建设生态文明，建设美丽中国。</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改善生态环境、发展绿色产业需要大量的绿色投资，单靠财政资金投入是不够的，原有的制度安排在动员社会资本进入绿色产业方面也存在不足。因此，需要构建一个绿色金融体系，让金融机构和金融市场有更强的能力和动力来动员更多的社会资本开展绿色投资。2016年8月，中国人民银行等七部委联合印发了《关于构建绿色金融体系的指导意见》(下称《指导意见》)，提出了35条发展绿色金融的具体措施。现在，相关部门以及各级地方政府和各金融机构正在抓紧落实《指导意见》，总体进展顺利。</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绿色金融不但是推动我国经济向绿色转型的重要力量，也为金融业自身可持续发展创造了新机遇。我国绿色融资的需求巨大，绿色金融业务的成长空间也很大。比如，2016年我国绿色债券在境内外的发行量是2015年的30多倍(当然有基数小的原因)，绿色基金正快速成长，能效融资贷款、环境权益抵押贷款、绿色ABS、碳金融产品等绿色金融产品不断涌现。可以说，我国绿色金融的发展正全面提速。</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中国证券报</w:t>
      </w:r>
      <w:r>
        <w:rPr>
          <w:rFonts w:hint="eastAsia" w:ascii="华文楷体" w:hAnsi="华文楷体" w:eastAsia="华文楷体" w:cs="华文楷体"/>
          <w:sz w:val="24"/>
          <w:szCs w:val="24"/>
          <w:lang w:val="en-US" w:eastAsia="zh-CN"/>
        </w:rPr>
        <w:t>:我国提出了构建绿色金融体系的目标，这是一个相当宏伟的构想。如何准确理解绿色金融体系的内涵?</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我国是全球第一个由政府推动并发布政策明确支持"绿色金融体系"建设的经济体。七部委发布的《指导意见》明确提出，绿色金融是指"为支持环境改善、应对气候变化和资源节约高效利用的经济活动，即对环保、节能、清洁能源、绿色交通、绿色建筑等领域的项目投融资、项目运营、风险管理等所提供的金融服务"。</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而绿色金融体系则被定义为"通过绿色信贷、绿色债券、绿色股票指数和相关产品、绿色发展基金、绿色保险、碳金融等金融工具和相关政策支持经济向绿色化转型的制度安排。"</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之所以要强调构建绿色金融体系，一个非常重要的原因是绿色融资需求具有多样性、多维度的特点，单靠一类或少数几类金融工具难以有效满足，需要从制度和体系的层面做出响应。比如，一些短中期的绿色项目可能适合从银行贷款，一些中长期且现金流较稳定的绿色项目可能适合从债券市场融资，而一些高成长性但风险较高的绿色项目就可能适合从私募股权基金或通过上市融资。除融资需求外，企业还有环境风险管理的需要，这就要求发展绿色保险、碳金融等服务。</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b/>
          <w:bCs/>
          <w:color w:val="0000FF"/>
          <w:sz w:val="24"/>
          <w:szCs w:val="24"/>
          <w:lang w:val="en-US" w:eastAsia="zh-CN"/>
        </w:rPr>
      </w:pPr>
      <w:r>
        <w:rPr>
          <w:rFonts w:hint="eastAsia" w:ascii="华文楷体" w:hAnsi="华文楷体" w:eastAsia="华文楷体" w:cs="华文楷体"/>
          <w:b/>
          <w:bCs/>
          <w:color w:val="0000FF"/>
          <w:sz w:val="24"/>
          <w:szCs w:val="24"/>
          <w:lang w:val="en-US" w:eastAsia="zh-CN"/>
        </w:rPr>
        <w:t>绿色债券成绿色金融一大亮点</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中国证券报</w:t>
      </w:r>
      <w:r>
        <w:rPr>
          <w:rFonts w:hint="eastAsia" w:ascii="华文楷体" w:hAnsi="华文楷体" w:eastAsia="华文楷体" w:cs="华文楷体"/>
          <w:sz w:val="24"/>
          <w:szCs w:val="24"/>
          <w:lang w:val="en-US" w:eastAsia="zh-CN"/>
        </w:rPr>
        <w:t>:绿色债券在我国的发展速度非常快，已经成为绿色金融发展的一大亮点。您能否介绍一下相关情况?</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2015年12月，中国人民银行发布了《在银行间债券市场发行绿色金融债券的公告》，同时中国金融学会绿色金融专业委员会也发布了《绿色债券项目支持目录》。两个文件的发布标志着我国绿色债券市场的全面启动。此后，发展改革委、证监会、上交所、深交所也发布了关于绿色债券的指导意见。</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各方面共同努力下，2016年我国在境内外绿色债券的发行规模达到约2300亿元，占同期全球绿色债券发行量的近40%，我国一跃成为全球最大的绿色债券市场。我国的绿色债券市场虽然比欧美起步晚，但经过短短一年多的努力，我们在绿色债券的定义、认证、信息披露、评级、指数编制等方面的工作都走到了世界前列。比如，我国的《绿色债券项目支持目录》比国际绿色债券原则要详细得多;我国几乎所有的绿色债券都经过了第三方认证;人民银行、中国银行间市场交易商协会和两大证券交易所对绿色债券发行人就资金用途提出了强制性信息披露的要求;我国有至少4家评级公司推出了绿色债券评级方法(国外只有两家)，一些市场机构还推出了绿色债券指数。</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下一步，相关部门将会研究统一我国绿色债券的界定标准，提出绿色债券认证的规范意见，进一步强化信息披露要求，推动建立绿色债券的业界自律机制，努力将我国的绿色债券市场打造成为一个规范、活跃、透明和健康的绿色融资平台。</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color w:val="0000FF"/>
          <w:sz w:val="24"/>
          <w:szCs w:val="24"/>
          <w:lang w:val="en-US" w:eastAsia="zh-CN"/>
        </w:rPr>
        <w:t>发挥正向激励机制"四两拨千斤"作用</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中国证券报</w:t>
      </w:r>
      <w:r>
        <w:rPr>
          <w:rFonts w:hint="eastAsia" w:ascii="华文楷体" w:hAnsi="华文楷体" w:eastAsia="华文楷体" w:cs="华文楷体"/>
          <w:sz w:val="24"/>
          <w:szCs w:val="24"/>
          <w:lang w:val="en-US" w:eastAsia="zh-CN"/>
        </w:rPr>
        <w:t>:许多绿色项目由于其正外部效应没有被完全内生化，收益率略低于市场水平。因此，从政策层面给予一些正向激励措施对于提高绿色投资的吸引力很有必要。请问我国在这方面做了哪些工作?</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国际经验表明，发展绿色金融，既要发挥市场机制的决定性作用，也要更好地发挥政府的作用。《指导意见》提出通过再贷款、贴息和专业化担保机制等手段来支持绿色金融，还提出了设立国家绿色发展基金等措施。一些地方政府已经对绿色信贷、绿色债券进行贴息，建立区域性的专业化绿色担保机制，或委托专业担保机构对绿色项目提供担保。包括河北、山东、内蒙古、广东在内的至少12个省(自治区、直辖市)已经建立了绿色发展基金或环保基金，其他许多地区也正在纷纷组建类似基金。这些举措有利于降低绿色项目的融资成本，缓解绿色项目融资难、融资贵问题。特别是政府背景的基金介入绿色项目能够通过其"信号"作用，引导数倍的民间资金进入绿色金融和绿色产业领域，发挥"四两拨千斤"的撬动作用。</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b/>
          <w:bCs/>
          <w:color w:val="0000FF"/>
          <w:sz w:val="24"/>
          <w:szCs w:val="24"/>
          <w:lang w:val="en-US" w:eastAsia="zh-CN"/>
        </w:rPr>
      </w:pPr>
      <w:r>
        <w:rPr>
          <w:rFonts w:hint="eastAsia" w:ascii="华文楷体" w:hAnsi="华文楷体" w:eastAsia="华文楷体" w:cs="华文楷体"/>
          <w:b/>
          <w:bCs/>
          <w:color w:val="0000FF"/>
          <w:sz w:val="24"/>
          <w:szCs w:val="24"/>
          <w:lang w:val="en-US" w:eastAsia="zh-CN"/>
        </w:rPr>
        <w:t>推动绿色金融国际合作</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中国证券报:</w:t>
      </w:r>
      <w:r>
        <w:rPr>
          <w:rFonts w:hint="eastAsia" w:ascii="华文楷体" w:hAnsi="华文楷体" w:eastAsia="华文楷体" w:cs="华文楷体"/>
          <w:sz w:val="24"/>
          <w:szCs w:val="24"/>
          <w:lang w:val="en-US" w:eastAsia="zh-CN"/>
        </w:rPr>
        <w:t>过去一年，我国在推动绿色金融国际合作方面取得了很大成绩。下一步，我们将如何继续往前推进?</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陈雨露:</w:t>
      </w:r>
      <w:r>
        <w:rPr>
          <w:rFonts w:hint="eastAsia" w:ascii="华文楷体" w:hAnsi="华文楷体" w:eastAsia="华文楷体" w:cs="华文楷体"/>
          <w:sz w:val="24"/>
          <w:szCs w:val="24"/>
          <w:lang w:val="en-US" w:eastAsia="zh-CN"/>
        </w:rPr>
        <w:t>去年绿色金融国际合作方面的最大亮点是我国通过G20平台推动形成了发展绿色金融的全球共识。由中国倡议设立、中英两国央行共同主持的G20绿色金融研究小组所提出的发展绿色金融的七项倡议写入了G20领导人杭州峰会公报，大大推进了绿色金融议题在全球的主流化进程。</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今年，中英两国央行将继续担任G20绿色金融研究小组的共同主席，重点推动全球金融业开展环境风险分析和改善环境信息的可获得性。同时，我们在中英绿色金融的双边合作中，推动和支持中国的机构在伦敦发行绿色债券;在中法双边财金对话纳入了共同推动环境信息披露的内容。此外，中国金融学会绿色金融专业委员会正在联合有关方面起草《中国对外投资环境风险管理倡议》，以期进一步提升我国金融机构和企业在海外投资过程中的环境风险意识和风险管控能力，更好地推动"一带一路"投资的绿色化。</w:t>
      </w:r>
    </w:p>
    <w:p>
      <w:pPr>
        <w:spacing w:line="360" w:lineRule="auto"/>
        <w:ind w:firstLine="420" w:firstLineChars="200"/>
        <w:jc w:val="right"/>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延伸阅读三来源:新华社、中国金融信息网</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中宋" w:hAnsi="华文中宋" w:eastAsia="华文中宋" w:cs="华文中宋"/>
          <w:b/>
          <w:bCs/>
          <w:sz w:val="24"/>
          <w:szCs w:val="24"/>
          <w:lang w:val="en-US" w:eastAsia="zh-CN"/>
        </w:rPr>
        <w:t>延伸</w:t>
      </w: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阅读四</w:t>
      </w:r>
    </w:p>
    <w:p>
      <w:pPr>
        <w:spacing w:line="360" w:lineRule="auto"/>
        <w:ind w:firstLine="480" w:firstLineChars="200"/>
        <w:jc w:val="center"/>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积极解决金融发展不平衡不充分问题</w:t>
      </w:r>
    </w:p>
    <w:p>
      <w:pPr>
        <w:spacing w:line="360" w:lineRule="auto"/>
        <w:ind w:firstLine="420" w:firstLineChars="200"/>
        <w:jc w:val="center"/>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sz w:val="21"/>
          <w:szCs w:val="21"/>
          <w:lang w:val="en-US" w:eastAsia="zh-CN"/>
        </w:rPr>
        <w:t>来源:人民日报</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习近平同志在党的十九大报告中指出，我国社会主要矛盾已经转化为人民日益增长的美好生活需要和不平衡不充分的发展之间的矛盾。金融是现代经济的核心，人民日益增长的美好生活需要也包括对高质量金融服务的需要。近年来，我国金融业改革发展取得重大成就，金融产品和服务日益丰富，金融体系不断完善，但金融发展不平衡不充分的问题依然突出，具体表现在以下四个方面。</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一是金融投资需求与优质金融产品和服务供给不平衡。我国已总体上实现小康，到2020年将全面建成小康社会。人民富裕起来后，对投资、理财、资管等金融产品和服务有了更多需求，而不是仅仅满足于银行储蓄。但目前我国金融市场能够提供的金融产品和服务种类偏少、结构不合理、质量良莠不齐，还不能满足人民对多元化、高质量金融产品和服务的需求。这也导致非法集资等现象频发，不仅扰乱金融秩序，而且弱化金融服务实体经济的能力和效率。</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二是直接融资与间接融资不平衡。近年来，我国融资结构有所优化，但直接融资占比仍然偏低，以银行信贷为主的间接融资占主导地位。间接融资要通过银行等媒介，存在信息不对称及交易成本高等问题。以间接融资为主的融资结构难以满足经济动能转换对金融服务的需求，还是造成实体经济高杠杆的原因之一。</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三是金融市场开放与实体经济开放不平衡。我国金融市场开放明显滞后于实体经济开放，难以满足实体经济发展的需要。近年来，我国主动参与和推动经济全球化进程，发展更高层次的开放型经济，越来越多的中国企业走出去，在全球市场配置和整合资源。只有不断提高金融开放水平，才能为企业在海外进行并购重组、投融资等活动提供有力支撑。</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四是各类金融市场发展不平衡。例如，债券市场内的银行间市场和交易所市场存在分割，前者的规模和影响力远大于后者;股票市场的场内市场和场外市场发展不平衡，场外市场发展不充分。</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服务实体经济、防控金融风险、深化金融改革是金融领域当前和今后一个时期的主要任务。解决金融发展不平衡不充分问题，要紧紧围绕这些任务展开和推进。具体来说，需要做好四个方面工作。</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深化金融市场供给侧结构性改革，不断满足人民对更高层次金融产品和服务的需求。充分发挥市场的决定性作用，提供更加多元、更加规范、更高质量的金融产品和服务。金融市场发展应注重与科技创新融合，充分利用大数据、云计算、人工智能等先进技术改善金融服务的结构和效率。</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提高直接融资比重，逐步改善融资结构。党的十九大报告指出，提高直接融资比重，促进多层次资本市场健康发展。应稳步提高直接融资特别是股权融资的比重，拓展多层次、多元化、互补型股权融资渠道;积极发展债券市场，扩大债券市场的品种和规模，增强债券市场服务实体经济的能力;改善间接融资结构，推动国有大银行战略转型，发展中小银行和民营金融机构。</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稳步扩大金融市场对外开放，服务国家全面开放新格局。坚持自主、有序、平等、安全的方针，稳步扩大金融业双向开放，合理安排开放顺序。继续深化人民币汇率形成机制改革，稳步推进人民币国际化，稳步实现资本项目可兑换。金融市场开放要以服务"一带一路"建设为重点，不断提高服务实体经济引进来和走出去的能力，助力形成陆海内外联动、东西双向互济的开放新格局。</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加强金融监管协调，守住不发生系统性金融风险的底线。守住不发生系统性金融风险的底线，是解决金融发展不平衡不充分问题的前提和基础。健全货币政策和宏观审慎政策双支柱调控框架，在金融稳定发展委员会统一领导下，加强金融监管协调，补齐监管短板，健全风险监测预警和早期干预机制，加强金融基础设施的统筹监管和互联互通。</w:t>
      </w:r>
    </w:p>
    <w:p>
      <w:pPr>
        <w:spacing w:line="360" w:lineRule="auto"/>
        <w:ind w:firstLine="420" w:firstLineChars="200"/>
        <w:jc w:val="right"/>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延伸阅读四来源:人民日报</w:t>
      </w:r>
    </w:p>
    <w:p>
      <w:pPr>
        <w:spacing w:line="360" w:lineRule="auto"/>
        <w:ind w:firstLine="420" w:firstLineChars="200"/>
        <w:jc w:val="right"/>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延伸阅读四作者:李正辉 石锦建</w:t>
      </w: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楷体" w:hAnsi="华文楷体" w:eastAsia="华文楷体" w:cs="华文楷体"/>
          <w:sz w:val="21"/>
          <w:szCs w:val="21"/>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5" w:name="央行副行长陈雨露：将加大绿色金融产品和服务体系创新"/>
      <w:r>
        <w:rPr>
          <w:rFonts w:hint="eastAsia" w:ascii="华文中宋" w:hAnsi="华文中宋" w:eastAsia="华文中宋" w:cs="华文中宋"/>
          <w:b/>
          <w:bCs/>
          <w:sz w:val="24"/>
          <w:szCs w:val="24"/>
          <w:lang w:val="en-US" w:eastAsia="zh-CN"/>
        </w:rPr>
        <w:t>央行副行长陈雨露：将加大绿色金融产品和服务体系创新</w:t>
      </w:r>
    </w:p>
    <w:bookmarkEnd w:id="5"/>
    <w:p>
      <w:pPr>
        <w:spacing w:line="360" w:lineRule="auto"/>
        <w:ind w:firstLine="400" w:firstLineChars="20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日期：2018年1月24日 来源：证券时报</w:t>
      </w:r>
    </w:p>
    <w:p>
      <w:pPr>
        <w:spacing w:line="360" w:lineRule="auto"/>
        <w:ind w:firstLine="400" w:firstLineChars="200"/>
        <w:jc w:val="center"/>
        <w:rPr>
          <w:rFonts w:hint="eastAsia" w:ascii="华文楷体" w:hAnsi="华文楷体" w:eastAsia="华文楷体" w:cs="华文楷体"/>
          <w:b w:val="0"/>
          <w:bCs w:val="0"/>
          <w:sz w:val="20"/>
          <w:szCs w:val="20"/>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人民日报报道，中国人民银行副行长陈雨露表示，当前，我国绿色金融呈现全面提速的良好发展态势，走在了国际前沿。下一步，应着力提升绿色金融的可持续发展水平，更好地服务国家发展目标。重点包括：发挥宏观审慎评估体系等工具的正向激励作用，增强绿色金融市场的内在吸引力；加快构建国内统一、清晰可执行的绿色项目标准和绿色金融标准，着力提升国际话语权；加大绿色金融产品和服务体系创新，更好满足多元化投融资需求等。</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6" w:name="央行副行长陈雨露：央行正审慎从严地批设市场化个人征信机构"/>
      <w:r>
        <w:rPr>
          <w:rFonts w:hint="eastAsia" w:ascii="华文中宋" w:hAnsi="华文中宋" w:eastAsia="华文中宋" w:cs="华文中宋"/>
          <w:b/>
          <w:bCs/>
          <w:sz w:val="24"/>
          <w:szCs w:val="24"/>
          <w:lang w:val="en-US" w:eastAsia="zh-CN"/>
        </w:rPr>
        <w:t>央行副行长陈雨露：央行正审慎从严地批设市场化个人征信机构</w:t>
      </w:r>
    </w:p>
    <w:bookmarkEnd w:id="6"/>
    <w:p>
      <w:pPr>
        <w:spacing w:line="360" w:lineRule="auto"/>
        <w:ind w:firstLine="360" w:firstLineChars="200"/>
        <w:jc w:val="center"/>
        <w:rPr>
          <w:rFonts w:hint="eastAsia" w:ascii="华文楷体" w:hAnsi="华文楷体" w:eastAsia="华文楷体" w:cs="华文楷体"/>
          <w:b w:val="0"/>
          <w:bCs w:val="0"/>
          <w:sz w:val="18"/>
          <w:szCs w:val="18"/>
          <w:lang w:val="en-US" w:eastAsia="zh-CN"/>
        </w:rPr>
      </w:pPr>
      <w:r>
        <w:rPr>
          <w:rFonts w:hint="eastAsia" w:ascii="华文楷体" w:hAnsi="华文楷体" w:eastAsia="华文楷体" w:cs="华文楷体"/>
          <w:b w:val="0"/>
          <w:bCs w:val="0"/>
          <w:sz w:val="18"/>
          <w:szCs w:val="18"/>
          <w:lang w:val="en-US" w:eastAsia="zh-CN"/>
        </w:rPr>
        <w:t>日期：2018年1月24日 来源：搜狐</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865755" cy="1630680"/>
            <wp:effectExtent l="0" t="0" r="10795" b="762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a:stretch>
                      <a:fillRect/>
                    </a:stretch>
                  </pic:blipFill>
                  <pic:spPr>
                    <a:xfrm>
                      <a:off x="0" y="0"/>
                      <a:ext cx="2865755" cy="1630680"/>
                    </a:xfrm>
                    <a:prstGeom prst="rect">
                      <a:avLst/>
                    </a:prstGeom>
                    <a:noFill/>
                    <a:ln w="9525">
                      <a:noFill/>
                    </a:ln>
                  </pic:spPr>
                </pic:pic>
              </a:graphicData>
            </a:graphic>
          </wp:inline>
        </w:drawing>
      </w:r>
    </w:p>
    <w:p>
      <w:pPr>
        <w:spacing w:line="360" w:lineRule="auto"/>
        <w:ind w:firstLine="360" w:firstLineChars="200"/>
        <w:jc w:val="center"/>
        <w:rPr>
          <w:rFonts w:hint="eastAsia" w:ascii="华文楷体" w:hAnsi="华文楷体" w:eastAsia="华文楷体" w:cs="华文楷体"/>
          <w:sz w:val="18"/>
          <w:szCs w:val="18"/>
          <w:lang w:val="en-US" w:eastAsia="zh-CN"/>
        </w:rPr>
      </w:pPr>
      <w:r>
        <w:rPr>
          <w:rFonts w:hint="eastAsia" w:ascii="华文楷体" w:hAnsi="华文楷体" w:eastAsia="华文楷体" w:cs="华文楷体"/>
          <w:sz w:val="18"/>
          <w:szCs w:val="18"/>
          <w:lang w:val="en-US" w:eastAsia="zh-CN"/>
        </w:rPr>
        <w:t>图片来源：视觉中国</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“现代市场经济是信用经济，构建现代化经济和金融体系必须以完善的社会信用体系为基础，核心是征信系统建设。”接受《人民日报》专访的央行副行长陈雨露如此形容征信系统构筑的重要性。</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建立覆盖全社会的征信系统，要充分发挥政府和市场双线推动的积极作用，推进征信服务对经济金融、社会生活和行政司法领域的全覆盖。据陈雨露介绍，企业和个人的负债信息主要存在于三个领域。</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一是银证保等传统金融机构掌握的个人负债信息。这一部分人民银行征信中心运维的国家金融信用信息基础数据库已基本实现全覆盖。</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二是银证保等传统金融机构之外的机构所掌握的个人负债信息，这个新兴领域需要市场化的个人征信机构来实现全覆盖。陈雨露表示，目前，人民银行正审慎从严地批设市场化个人征信机构。</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近年来随着互联网借贷及互联网金融的发展，由于缺乏有效的信息共享，个人多头借贷、过度借贷、骗贷等行为不断出现。</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针对个人征信市场，央行已作出努力。2016年9月，由央行旗下中国互联网金融协会组织建设的“互联网金融行业信用信息共享平台”正式开通。蚂蚁金服、京东金融、分期乐等17家互联网金融企业首批签约《中国互联网金融协会互联网金融服务平台信用信息共享合作协议》。</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今年1月4日，这一平台再度“升级”。央行发布公示，宣布正式受理百行征信有限公司 （下称百行征信）的个人征信业务申请。其注册资本10亿元，主要股东和持股比例分别为中国互联网金融协会持股36%，其余8家芝麻信用、腾讯征信、前海征信、鹏元征信、中诚信征信、考拉征信、中智诚征信、北京华道征信分别持股8%。</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除上述两个领域外，陈雨露表示，行政司法机关所掌握的个人在履行法定义务过程中形成的负债信息，也是企业和个人负债信息主要存领域之一。这个领域需征信机构通过信息共享实现全覆盖。</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征信业的本质是信息共享。如果没有有效的信息保护，就不可能有充分的信息共享，也就不可能有征信业。”而对于如何平衡好促进征信业发展和保护个人信息之间的关系，陈雨露指出，首先是对信息提供方的监管协调，确保信息按照“最低、适用”的理念采集，确保信息准确性。其次是对信息采集加工方的监管协调，确保征信机构行为遵循征信规则的要求，确保公正性和有效性。最后是对信息使用方的监管协调，确保个人征信信息的依法有限使用，维护好信息主体权益。</w:t>
      </w:r>
    </w:p>
    <w:p>
      <w:pPr>
        <w:spacing w:line="360" w:lineRule="auto"/>
        <w:ind w:firstLine="480" w:firstLineChars="20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作者：满乐 </w:t>
      </w: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7" w:name="陈雨露：金融机构资产管理产品综合统计制度已基本成熟"/>
      <w:bookmarkStart w:id="8" w:name="陈雨露金融机构资产管理产品综合统计制度已基本成熟"/>
      <w:r>
        <w:rPr>
          <w:rFonts w:hint="eastAsia" w:ascii="华文中宋" w:hAnsi="华文中宋" w:eastAsia="华文中宋" w:cs="华文中宋"/>
          <w:b/>
          <w:bCs/>
          <w:sz w:val="24"/>
          <w:szCs w:val="24"/>
          <w:lang w:val="en-US" w:eastAsia="zh-CN"/>
        </w:rPr>
        <w:t>陈雨露：金融机构资产管理产品综合统计制度已基本成熟</w:t>
      </w:r>
      <w:bookmarkEnd w:id="7"/>
    </w:p>
    <w:bookmarkEnd w:id="8"/>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来源：证券时报</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日报》刊登对央行副行长陈雨露采访称，金融业综合统计旨在实现对所有金融机构和金融活动的全流程、全链条动态统计监测，主要包括三个部分：金融业资产负债表和金融资金流量统计，这是综合的综合，具有统领地位，能够完整展现金融业的“家底”；货币信贷统计和分业机构监管统计，这部分统计内容已经较为成熟；服务防范和化解系统性风险的统计，包括交叉性金融产品统计、系统重要性金融机构统计、金融控股公司统计、互联网金融统计等，这是需要重点补短板的内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去年以来，根据中央的统一部署，人民银行会同相关部委，确定了以金融机构资产管理产品统计为突破口，加快建立覆盖所有金融机构、金融基础设施和金融活动的金融业综合统计体系的工作思路。目前，金融机构资产管理产品的综合统计制度已基本成熟，在此基础上，未来将加快建立统一标准、同步采集、集中校验、汇总共享的工作机制，持续推进金融业综合统计体系建设。</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9" w:name="潘功胜：坚持防控风险与条线监督相结合维护外汇市场稳定"/>
      <w:r>
        <w:rPr>
          <w:rFonts w:hint="eastAsia" w:ascii="华文中宋" w:hAnsi="华文中宋" w:eastAsia="华文中宋" w:cs="华文中宋"/>
          <w:b/>
          <w:bCs/>
          <w:sz w:val="24"/>
          <w:szCs w:val="24"/>
          <w:lang w:val="en-US" w:eastAsia="zh-CN"/>
        </w:rPr>
        <w:t>潘功胜：坚持防控风险与条线监督相结合 维护外汇市场稳定</w:t>
      </w:r>
    </w:p>
    <w:bookmarkEnd w:id="9"/>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来源：证券时报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外汇局26日公布，日前，外汇局召开全面从严治党工作会议，学习传达十九届中央纪委二次全会精神，总结党的十八大以来全面从严治党工作，安排部署2018年度任务。国家外汇管理局党组书记、局长潘功胜出席会议并作工作报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潘功胜强调，外汇局2018年全面从严治党工作任务，一是要把政治建设作为根本性建设来抓，坚决同以习近平同志为核心的党中央保持高度一致；二是以习近平新时代中国特色社会主义思想为指导，打牢坚定“四个自信”的思想基础；三是积极推进基层党组织建设，不断增强政治功能；四是常抓不懈纠正“四风”，巩固拓展作风建设成效；五是积极推进纪律建设，强化监督执纪问责。</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外汇局各级党组织和全体党员干部，要充分认识全面从严治党面临的新形势新任务，深刻领会党中央全面从严治党新决策新部署。要坚持政治过硬与本领高强相结合，重点学习习近平新时代中国特色社会主义思想中的立场观点方法，以实际行动确保党的十九大决策部署的贯彻落实。要坚持防控风险与条线监督相结合，强化岗位廉政风险，抓好廉政风险防控，维护外汇市场稳定和国家经济金融安全；严格落实条线监督，按照全面依法履职、扛起条线管理的主体责任的要求，在全系统树立良好风气。要坚持问题导向与责任担当相结合，努力培养发现问题的敏锐、正视问题的清醒、解决问题的自觉，敢于并善于发现、分析和解决全面从严治党中存在的矛盾问题，以强烈的责任担当推动工作任务完成。</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0" w:name="范一飞：中国央行数字货币应采用双层投放体系"/>
      <w:r>
        <w:rPr>
          <w:rFonts w:hint="eastAsia" w:ascii="华文中宋" w:hAnsi="华文中宋" w:eastAsia="华文中宋" w:cs="华文中宋"/>
          <w:b/>
          <w:bCs/>
          <w:sz w:val="24"/>
          <w:szCs w:val="24"/>
          <w:lang w:val="en-US" w:eastAsia="zh-CN"/>
        </w:rPr>
        <w:t>范一飞：中国央行数字货币应采用双层投放体系</w:t>
      </w:r>
    </w:p>
    <w:bookmarkEnd w:id="10"/>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来源：第一财经 作者：范一飞</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年来，各主要国家和地区央行及货币当局均在对发行央行数字货币开展研究，新加坡央行和瑞典央行等已经开始进行相关试验，人民银行也在组织进行积极探索和研究。本文提出了有关我国央行数字货币发行安排的一些思考。</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一、中国央行数字货币应采用双层投放体系</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国发行央行数字货币是一个复杂的系统工程。我国幅员辽阔、人口众多，各地区经济发展、资源禀赋和人口受教育程度差异较大，在设计和投放(发行)、流通央行数字货币过程中，要充分考虑系统、制度设计所面临的多样性和复杂性。</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比如，需要考虑网络覆盖不足的偏远地区的使用问题。如果采用单层(one-tier)投放，将面临上述因素所带来的极大考验。为提升央行数字货币的便捷性和服务可得性，增强公众使用意愿，可考虑采用双层(two-tier)投放，来应对上述困难。</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利于充分利用商业机构现有资源、人才、技术等优势，通过市场驱动、促进创新、竞争选优。商业银行等机构的IT基础设施应用和服务体系已比较成熟，系统的处理能力较强，在金融科技应用等方面已经积累了一定的经验，人才储备较为充分。因此，在商业银行现有的基础设施、人力资源及成熟的应用和服务体系之外，另起炉灶、重复建设，对社会资源是巨大的浪费。</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安全、可靠的前提下，中央银行与商业银行等机构可以密切合作，不预设技术路线，充分调动市场力量，通过竞争来实现系统优化，共同开发、共同运行。这既有利于整合资源、发挥合力，也有利于促进创新。而且，大众已习惯通过银行等商业机构处理金融业务，双层投放也有助于提升社会公众对央行数字货币的接受度。</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助于分散化解风险。在以往银行间支付清算系统的开发过程中，央行积累了丰富的经验，但银行间清算支付系统是直接服务金融机构，央行数字货币是直接服务公众，涉及千家万户。如果仅靠央行自身力量进行研发，支撑如此庞大的系统，既要满足安全、高效、稳定的目标，还要满足用户体验需求，很不容易。同时，央行还受制于预算、资源、人员和技术等客观约束，通过两级投放的设计，可避免将风险过度集中。</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可以避免“金融脱媒”。“单层投放”下，央行直接对公众投放数字货币，央行数字货币与商业银行存款货币将形成竞争关系。显然，由央行背书的央行数字货币的信用等级高于商业银行存款货币，会对商业银行存款产生挤出效应，可能出现“存款搬家”，进而影响商业银行的贷款投放能力。</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商业银行吸纳存款能力降低会增加其对同业市场的依赖，抬高资金价格，增加社会融资成本，损害实体经济，引发“金融脱媒”。为保持其放贷能力和金融稳定，央行将不得不对商业银行进行补贴。极端情况下，还会颠覆现有金融体系，出现央行包打天下的“大一统”局面。</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综上，“中央银行-代理投放的商业机构”的双层投放模式是既适合我国国情，又能够充分利用现有资源、调动商业银行积极性的选择。</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首先，不改变流通中货币的债权债务关系。为保证货币不超发，代理投放机构需要向央行按100%全额缴纳准备金。所以，公众所持有的央行数字货币依然是中央银行负债，由中央银行信用担保，具有无限法偿性。</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其次，不改变现有货币投放体系和二元账户结构，不会构成对商业银行存款货币的竞争，不会增加商业银行对同业拆借市场的依赖，不会影响商业银行的放贷能力，也就不会导致“金融脱媒”现象。</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再次，由于不影响现有货币政策传导机制，不会强化压力环境下的顺周期效应，因此也不会对现行实体经济运行方式产生负面影响。最后，该模式更有利于发挥央行数字货币的优势，节约成本、提高货币流通速度，提升支付便捷性和安全性。</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此外，由于具有央行背书的信用优势，有利于抑制公众对私有加密数字货币的需求，巩固我货币主权。</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二、在双层投放体系安排下，我国的央行数字货币应以账户松耦合的方式投放，并坚持中心化的管理模式</w:t>
      </w:r>
    </w:p>
    <w:p>
      <w:pPr>
        <w:spacing w:line="360" w:lineRule="auto"/>
        <w:ind w:firstLine="480" w:firstLineChars="200"/>
        <w:jc w:val="both"/>
        <w:rPr>
          <w:rFonts w:hint="eastAsia" w:ascii="华文楷体" w:hAnsi="华文楷体" w:eastAsia="华文楷体" w:cs="华文楷体"/>
          <w:b/>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为保持央行数字货币的属性，实现货币政策和宏观审慎管理目标，我国的央行数字货币双层投放体系应不同于各种代币的去中心化发行模式。</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一，因为央行数字货币仍然是中央银行对社会公众的负债，其债权债务关系并未随着货币形态而改变，因而仍必须保证央行在投放过程中的中心地位。第二，需要保证并加强央行的宏观审慎与货币政策调控职能。第三，不改变二元账户体系，保持原有货币政策传导方式。第四，为避免代理投放机构超发货币，需要有相应安排实现央行对数字货币投放的追踪和监管。</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因此，央行数字货币应坚持中心化投放模式。不过，这里所说的中心化投放模式与传统电子支付工具也有所不同。电子支付工具的资金转移必须通过账户完成，采用的是账户紧耦合方式。央行数字货币则应基于账户松耦合形式，使交易环节对账户的依赖程度大为降低。这样，既可和现金一样易于流通，又能实现可控匿名。央行数字货币持有人可直接将其应用于各种场景，有利于人民币流通和国际化。</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外，如果没有交易第三方匿名，会泄露个人信息和隐私;但如果允许实现完全的第三方匿名，会助长犯罪，如逃税、恐怖融资和洗钱等犯罪行为。所以为取得平衡，必须实现可控匿名，只对央行这一第三方披露交易数据。在松耦合账户体系下，可要求代理投放机构每日将交易数据异步传输至央行，既便于央行掌握必要的数据以确保审慎管理和反洗钱等监管目标得以实现，也能减轻商业机构的系统负担。</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三、中国现阶段的央行数字货币设计应注重M0替代，而不是M1、M2替代</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现阶段，M1和M2基于商业银行账户，已实现电子化或数字化，没有用数字货币再次数字化的必要。支持M1和M2流转的银行间支付清算系统(如大小额支付系统和网上支付跨行清算系统等)、商业银行行内系统以及非银行支付机构的各类网络支付手段等运转正常，且在不断完善升级、日益高效，能够满足我国经济发展的需要。用央行数字货币替代M1和M2，既无助于提高支付效率，还会造成对现有系统和资源的巨大浪费。</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相比之下，现有纸钞和硬币的发行、印制、回笼和贮藏等环节成本较高，流通体系层级多，且携带不便、易被伪造、匿名不可控，存在被用于洗钱等违法犯罪活动的风险，实现数字化的必要性与日俱增。</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外，非现金支付工具，如传统的银行卡和互联网支付等，都基于账户紧耦合模式，无法完全满足公众对易用和匿名支付服务的需求，不可能完全取代M0，特别是在账户服务和通信网络覆盖不佳的地区，民众对现钞的依赖程度仍然很高。央行数字货币保持了现钞的属性和主要特征，满足了便携和匿名的需求，将是替代现钞的最好工具。</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正因为央行数字货币是对M0的替代，不应对其计付利息。这样既不会引发“金融脱媒”，也不会由此引致通胀预期。相应地，也不会对现有货币体系、金融体系和实体经济运行产生大的冲击。</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理，由于央行数字货币是M0替代，所以也应遵守现行所有关于现钞管理和反洗钱、反恐融资等的规定。为配合反洗钱等相关工作，可要求相关机构就央行数字货币的大额及可疑交易向央行报告。同时，为引导央行数字货币应用于小额零售业务场景、不对存款产生挤出效应，避免套利和压力环境下的顺周期效应，可对其设置每日及每年累计交易限额，并规定大额预约兑换。</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必要时，也可考虑对央行数字货币的兑换实现分级收费，对于小额、低频的兑换可不收费，对于大额、高频兑换和交易收取较高费用以增加兑换成本和制度摩擦。在利率零下界的情况下，这种安排还可为央行实施负利率政策创造条件。</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四、对央行数字货币加载智能合约应保持审慎态度</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根据尼克·萨博(Nick Szabo)给出的定义，智能合约是一套以数字形式定义的承诺，包括合约参与方可以在上面执行这些承诺的协议。智能合约被写入计算机可读的代码中。一旦达到触发条件，由计算机自动执行。可以加载时间、信用等前置条件，也可以被应用于缴税、反恐融资等多种场景中。</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然而，如前所述，央行数字货币是对M0的替代，具有无限法偿性，即承担了价值尺度、流通手段、支付手段和价值贮藏等职能。原有现钞并未承载任何其他的社会与行政职能。《中华人民共和国人民币管理条例》规定，禁止故意损毁人民币。所以，在现钞上添加额外社会或行政功能实际上有损毁人民币之嫌。</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保持无限法偿性的法律地位，央行数字货币也不应承担除货币应有的四个职能之外的其他社会与行政职能。加载除法定货币本身功能外的智能合约，将影响其法偿功能，甚至使其褪化为有价票证，降低我国央行数字货币的可自由使用程度，也将对人民币国际化产生不利影响。还会降低货币流通速度，影响货币政策传导和央行履行宏观审慎职能。同时，还可能侵犯公民隐私权，不利于个人权益保护。</w:t>
      </w: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1" w:name="小额贷款公司统计数据报告"/>
      <w:r>
        <w:rPr>
          <w:rFonts w:hint="eastAsia" w:ascii="华文中宋" w:hAnsi="华文中宋" w:eastAsia="华文中宋" w:cs="华文中宋"/>
          <w:b/>
          <w:bCs/>
          <w:sz w:val="24"/>
          <w:szCs w:val="24"/>
          <w:lang w:val="en-US" w:eastAsia="zh-CN"/>
        </w:rPr>
        <w:t>2017年小额贷款公司统计数据报告</w:t>
      </w:r>
    </w:p>
    <w:bookmarkEnd w:id="11"/>
    <w:p>
      <w:pPr>
        <w:spacing w:line="360" w:lineRule="auto"/>
        <w:ind w:firstLine="360" w:firstLineChars="200"/>
        <w:jc w:val="center"/>
        <w:rPr>
          <w:rFonts w:hint="eastAsia" w:ascii="华文楷体" w:hAnsi="华文楷体" w:eastAsia="华文楷体" w:cs="华文楷体"/>
          <w:b w:val="0"/>
          <w:bCs w:val="0"/>
          <w:sz w:val="18"/>
          <w:szCs w:val="18"/>
          <w:lang w:val="en-US" w:eastAsia="zh-CN"/>
        </w:rPr>
      </w:pPr>
      <w:r>
        <w:rPr>
          <w:rFonts w:hint="eastAsia" w:ascii="华文楷体" w:hAnsi="华文楷体" w:eastAsia="华文楷体" w:cs="华文楷体"/>
          <w:b w:val="0"/>
          <w:bCs w:val="0"/>
          <w:sz w:val="18"/>
          <w:szCs w:val="18"/>
          <w:lang w:val="en-US" w:eastAsia="zh-CN"/>
        </w:rPr>
        <w:t>日期：2018年1月25日 来源：沟通交流、中国人民银行</w:t>
      </w:r>
    </w:p>
    <w:p>
      <w:pPr>
        <w:spacing w:line="360" w:lineRule="auto"/>
        <w:ind w:firstLine="360" w:firstLineChars="200"/>
        <w:jc w:val="center"/>
        <w:rPr>
          <w:rFonts w:hint="eastAsia" w:ascii="华文楷体" w:hAnsi="华文楷体" w:eastAsia="华文楷体" w:cs="华文楷体"/>
          <w:b w:val="0"/>
          <w:bCs w:val="0"/>
          <w:sz w:val="18"/>
          <w:szCs w:val="18"/>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截至2017年末，全国共有小额贷款公司8551家。贷款余额9799亿元，全年增加504亿元。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0" w:lineRule="atLeast"/>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附表：</w:t>
      </w:r>
    </w:p>
    <w:p>
      <w:pPr>
        <w:spacing w:line="54" w:lineRule="exact"/>
        <w:rPr>
          <w:rFonts w:hint="eastAsia" w:ascii="华文楷体" w:hAnsi="华文楷体" w:eastAsia="华文楷体" w:cs="华文楷体"/>
          <w:sz w:val="21"/>
          <w:szCs w:val="21"/>
        </w:rPr>
      </w:pPr>
    </w:p>
    <w:p>
      <w:pPr>
        <w:spacing w:line="0" w:lineRule="atLeast"/>
        <w:ind w:left="2320"/>
        <w:jc w:val="both"/>
        <w:rPr>
          <w:rFonts w:hint="eastAsia" w:ascii="华文楷体" w:hAnsi="华文楷体" w:eastAsia="华文楷体" w:cs="华文楷体"/>
          <w:b/>
          <w:sz w:val="28"/>
          <w:szCs w:val="21"/>
        </w:rPr>
      </w:pPr>
      <w:r>
        <w:rPr>
          <w:rFonts w:hint="eastAsia" w:ascii="华文楷体" w:hAnsi="华文楷体" w:eastAsia="华文楷体" w:cs="华文楷体"/>
          <w:b/>
          <w:sz w:val="28"/>
          <w:szCs w:val="21"/>
        </w:rPr>
        <w:t>小额贷款公司分地区情况统计表</w:t>
      </w:r>
    </w:p>
    <w:p>
      <w:pPr>
        <w:spacing w:line="25" w:lineRule="exact"/>
        <w:rPr>
          <w:rFonts w:hint="eastAsia" w:ascii="华文楷体" w:hAnsi="华文楷体" w:eastAsia="华文楷体" w:cs="华文楷体"/>
          <w:sz w:val="21"/>
          <w:szCs w:val="21"/>
        </w:rPr>
      </w:pPr>
    </w:p>
    <w:p>
      <w:pPr>
        <w:spacing w:line="0" w:lineRule="atLeast"/>
        <w:ind w:firstLine="3570" w:firstLineChars="1700"/>
        <w:jc w:val="both"/>
        <w:rPr>
          <w:rFonts w:hint="eastAsia" w:ascii="华文楷体" w:hAnsi="华文楷体" w:eastAsia="华文楷体" w:cs="华文楷体"/>
          <w:sz w:val="21"/>
          <w:szCs w:val="21"/>
        </w:rPr>
      </w:pPr>
      <w:r>
        <w:rPr>
          <w:rFonts w:hint="eastAsia" w:ascii="华文楷体" w:hAnsi="华文楷体" w:eastAsia="华文楷体" w:cs="华文楷体"/>
          <w:sz w:val="21"/>
          <w:szCs w:val="21"/>
        </w:rPr>
        <w:t>2017-12-31</w:t>
      </w:r>
    </w:p>
    <w:p>
      <w:pPr>
        <w:spacing w:line="286" w:lineRule="exact"/>
        <w:rPr>
          <w:rFonts w:ascii="Times New Roman" w:hAnsi="Times New Roman" w:eastAsia="Times New Roman"/>
          <w:sz w:val="24"/>
        </w:rPr>
      </w:pPr>
    </w:p>
    <w:tbl>
      <w:tblPr>
        <w:tblStyle w:val="16"/>
        <w:tblW w:w="7160" w:type="dxa"/>
        <w:jc w:val="center"/>
        <w:tblInd w:w="14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80"/>
        <w:gridCol w:w="1260"/>
        <w:gridCol w:w="1380"/>
        <w:gridCol w:w="1140"/>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jc w:val="center"/>
        </w:trPr>
        <w:tc>
          <w:tcPr>
            <w:tcW w:w="2280" w:type="dxa"/>
            <w:vMerge w:val="restart"/>
            <w:tcBorders>
              <w:top w:val="single" w:color="auto" w:sz="8" w:space="0"/>
              <w:right w:val="single" w:color="auto" w:sz="8" w:space="0"/>
            </w:tcBorders>
            <w:shd w:val="clear" w:color="auto" w:fill="auto"/>
            <w:vAlign w:val="bottom"/>
          </w:tcPr>
          <w:p>
            <w:pPr>
              <w:spacing w:line="250" w:lineRule="exact"/>
              <w:jc w:val="center"/>
              <w:rPr>
                <w:rFonts w:ascii="宋体" w:hAnsi="宋体" w:eastAsia="宋体"/>
                <w:b/>
                <w:sz w:val="22"/>
              </w:rPr>
            </w:pPr>
            <w:r>
              <w:rPr>
                <w:rFonts w:ascii="宋体" w:hAnsi="宋体" w:eastAsia="宋体"/>
                <w:b/>
                <w:sz w:val="22"/>
              </w:rPr>
              <w:t>地区名称</w:t>
            </w:r>
          </w:p>
        </w:tc>
        <w:tc>
          <w:tcPr>
            <w:tcW w:w="1260" w:type="dxa"/>
            <w:tcBorders>
              <w:top w:val="single" w:color="auto" w:sz="8" w:space="0"/>
              <w:right w:val="single" w:color="auto" w:sz="8" w:space="0"/>
            </w:tcBorders>
            <w:shd w:val="clear" w:color="auto" w:fill="auto"/>
            <w:vAlign w:val="bottom"/>
          </w:tcPr>
          <w:p>
            <w:pPr>
              <w:spacing w:line="250" w:lineRule="exact"/>
              <w:jc w:val="center"/>
              <w:rPr>
                <w:rFonts w:ascii="宋体" w:hAnsi="宋体" w:eastAsia="宋体"/>
                <w:b/>
                <w:sz w:val="22"/>
              </w:rPr>
            </w:pPr>
            <w:r>
              <w:rPr>
                <w:rFonts w:ascii="宋体" w:hAnsi="宋体" w:eastAsia="宋体"/>
                <w:b/>
                <w:sz w:val="22"/>
              </w:rPr>
              <w:t>机构数量</w:t>
            </w:r>
          </w:p>
        </w:tc>
        <w:tc>
          <w:tcPr>
            <w:tcW w:w="1380" w:type="dxa"/>
            <w:tcBorders>
              <w:top w:val="single" w:color="auto" w:sz="8" w:space="0"/>
              <w:right w:val="single" w:color="auto" w:sz="8" w:space="0"/>
            </w:tcBorders>
            <w:shd w:val="clear" w:color="auto" w:fill="auto"/>
            <w:vAlign w:val="bottom"/>
          </w:tcPr>
          <w:p>
            <w:pPr>
              <w:spacing w:line="250" w:lineRule="exact"/>
              <w:jc w:val="center"/>
              <w:rPr>
                <w:rFonts w:ascii="宋体" w:hAnsi="宋体" w:eastAsia="宋体"/>
                <w:b/>
                <w:w w:val="99"/>
                <w:sz w:val="22"/>
              </w:rPr>
            </w:pPr>
            <w:r>
              <w:rPr>
                <w:rFonts w:ascii="宋体" w:hAnsi="宋体" w:eastAsia="宋体"/>
                <w:b/>
                <w:w w:val="99"/>
                <w:sz w:val="22"/>
              </w:rPr>
              <w:t>从业人员数</w:t>
            </w:r>
          </w:p>
        </w:tc>
        <w:tc>
          <w:tcPr>
            <w:tcW w:w="1140" w:type="dxa"/>
            <w:tcBorders>
              <w:top w:val="single" w:color="auto" w:sz="8" w:space="0"/>
              <w:right w:val="single" w:color="auto" w:sz="8" w:space="0"/>
            </w:tcBorders>
            <w:shd w:val="clear" w:color="auto" w:fill="auto"/>
            <w:vAlign w:val="bottom"/>
          </w:tcPr>
          <w:p>
            <w:pPr>
              <w:spacing w:line="250" w:lineRule="exact"/>
              <w:ind w:left="120"/>
              <w:rPr>
                <w:rFonts w:ascii="宋体" w:hAnsi="宋体" w:eastAsia="宋体"/>
                <w:b/>
                <w:sz w:val="22"/>
              </w:rPr>
            </w:pPr>
            <w:r>
              <w:rPr>
                <w:rFonts w:ascii="宋体" w:hAnsi="宋体" w:eastAsia="宋体"/>
                <w:b/>
                <w:sz w:val="22"/>
              </w:rPr>
              <w:t>实收资本</w:t>
            </w:r>
          </w:p>
        </w:tc>
        <w:tc>
          <w:tcPr>
            <w:tcW w:w="1100" w:type="dxa"/>
            <w:tcBorders>
              <w:top w:val="single" w:color="auto" w:sz="8" w:space="0"/>
            </w:tcBorders>
            <w:shd w:val="clear" w:color="auto" w:fill="auto"/>
            <w:vAlign w:val="bottom"/>
          </w:tcPr>
          <w:p>
            <w:pPr>
              <w:spacing w:line="250" w:lineRule="exact"/>
              <w:ind w:left="100"/>
              <w:rPr>
                <w:rFonts w:ascii="宋体" w:hAnsi="宋体" w:eastAsia="宋体"/>
                <w:b/>
                <w:sz w:val="22"/>
              </w:rPr>
            </w:pPr>
            <w:r>
              <w:rPr>
                <w:rFonts w:ascii="宋体" w:hAnsi="宋体" w:eastAsia="宋体"/>
                <w:b/>
                <w:sz w:val="22"/>
              </w:rPr>
              <w:t>贷款余额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 w:hRule="atLeast"/>
          <w:jc w:val="center"/>
        </w:trPr>
        <w:tc>
          <w:tcPr>
            <w:tcW w:w="2280" w:type="dxa"/>
            <w:vMerge w:val="continue"/>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1260" w:type="dxa"/>
            <w:vMerge w:val="restart"/>
            <w:tcBorders>
              <w:right w:val="single" w:color="auto" w:sz="8" w:space="0"/>
            </w:tcBorders>
            <w:shd w:val="clear" w:color="auto" w:fill="auto"/>
            <w:vAlign w:val="bottom"/>
          </w:tcPr>
          <w:p>
            <w:pPr>
              <w:spacing w:line="250" w:lineRule="exact"/>
              <w:jc w:val="center"/>
              <w:rPr>
                <w:rFonts w:ascii="宋体" w:hAnsi="宋体" w:eastAsia="宋体"/>
                <w:b/>
                <w:w w:val="99"/>
                <w:sz w:val="22"/>
              </w:rPr>
            </w:pPr>
            <w:r>
              <w:rPr>
                <w:rFonts w:ascii="宋体" w:hAnsi="宋体" w:eastAsia="宋体"/>
                <w:b/>
                <w:w w:val="99"/>
                <w:sz w:val="22"/>
              </w:rPr>
              <w:t>（家）</w:t>
            </w:r>
          </w:p>
        </w:tc>
        <w:tc>
          <w:tcPr>
            <w:tcW w:w="1380" w:type="dxa"/>
            <w:vMerge w:val="restart"/>
            <w:tcBorders>
              <w:right w:val="single" w:color="auto" w:sz="8" w:space="0"/>
            </w:tcBorders>
            <w:shd w:val="clear" w:color="auto" w:fill="auto"/>
            <w:vAlign w:val="bottom"/>
          </w:tcPr>
          <w:p>
            <w:pPr>
              <w:spacing w:line="250" w:lineRule="exact"/>
              <w:jc w:val="center"/>
              <w:rPr>
                <w:rFonts w:ascii="宋体" w:hAnsi="宋体" w:eastAsia="宋体"/>
                <w:b/>
                <w:w w:val="99"/>
                <w:sz w:val="22"/>
              </w:rPr>
            </w:pPr>
            <w:r>
              <w:rPr>
                <w:rFonts w:ascii="宋体" w:hAnsi="宋体" w:eastAsia="宋体"/>
                <w:b/>
                <w:w w:val="99"/>
                <w:sz w:val="22"/>
              </w:rPr>
              <w:t>（人）</w:t>
            </w:r>
          </w:p>
        </w:tc>
        <w:tc>
          <w:tcPr>
            <w:tcW w:w="1140" w:type="dxa"/>
            <w:vMerge w:val="restart"/>
            <w:tcBorders>
              <w:right w:val="single" w:color="auto" w:sz="8" w:space="0"/>
            </w:tcBorders>
            <w:shd w:val="clear" w:color="auto" w:fill="auto"/>
            <w:vAlign w:val="bottom"/>
          </w:tcPr>
          <w:p>
            <w:pPr>
              <w:spacing w:line="250" w:lineRule="exact"/>
              <w:ind w:left="120"/>
              <w:rPr>
                <w:rFonts w:ascii="宋体" w:hAnsi="宋体" w:eastAsia="宋体"/>
                <w:b/>
                <w:sz w:val="22"/>
              </w:rPr>
            </w:pPr>
            <w:r>
              <w:rPr>
                <w:rFonts w:ascii="宋体" w:hAnsi="宋体" w:eastAsia="宋体"/>
                <w:b/>
                <w:sz w:val="22"/>
              </w:rPr>
              <w:t>（亿元）</w:t>
            </w:r>
          </w:p>
        </w:tc>
        <w:tc>
          <w:tcPr>
            <w:tcW w:w="1100" w:type="dxa"/>
            <w:vMerge w:val="restart"/>
            <w:shd w:val="clear" w:color="auto" w:fill="auto"/>
            <w:vAlign w:val="bottom"/>
          </w:tcPr>
          <w:p>
            <w:pPr>
              <w:spacing w:line="250" w:lineRule="exact"/>
              <w:ind w:left="100"/>
              <w:rPr>
                <w:rFonts w:ascii="宋体" w:hAnsi="宋体" w:eastAsia="宋体"/>
                <w:b/>
                <w:sz w:val="22"/>
              </w:rPr>
            </w:pPr>
            <w:r>
              <w:rPr>
                <w:rFonts w:ascii="宋体" w:hAnsi="宋体" w:eastAsia="宋体"/>
                <w:b/>
                <w:sz w:val="22"/>
              </w:rPr>
              <w:t>（亿元）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 w:hRule="atLeast"/>
          <w:jc w:val="center"/>
        </w:trPr>
        <w:tc>
          <w:tcPr>
            <w:tcW w:w="2280" w:type="dxa"/>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1260" w:type="dxa"/>
            <w:vMerge w:val="continue"/>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1380" w:type="dxa"/>
            <w:vMerge w:val="continue"/>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1140" w:type="dxa"/>
            <w:vMerge w:val="continue"/>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1100" w:type="dxa"/>
            <w:vMerge w:val="continue"/>
            <w:shd w:val="clear" w:color="auto" w:fill="auto"/>
            <w:vAlign w:val="bottom"/>
          </w:tcPr>
          <w:p>
            <w:pPr>
              <w:spacing w:line="0" w:lineRule="atLeast"/>
              <w:rPr>
                <w:rFonts w:ascii="Times New Roman" w:hAnsi="Times New Roman" w:eastAsia="Times New Roman"/>
                <w:sz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 w:hRule="atLeast"/>
          <w:jc w:val="center"/>
        </w:trPr>
        <w:tc>
          <w:tcPr>
            <w:tcW w:w="22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126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13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114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1100" w:type="dxa"/>
            <w:tcBorders>
              <w:bottom w:val="single" w:color="auto" w:sz="8" w:space="0"/>
            </w:tcBorders>
            <w:shd w:val="clear" w:color="auto" w:fill="auto"/>
            <w:vAlign w:val="bottom"/>
          </w:tcPr>
          <w:p>
            <w:pPr>
              <w:spacing w:line="0" w:lineRule="atLeast"/>
              <w:rPr>
                <w:rFonts w:ascii="Times New Roman" w:hAnsi="Times New Roman" w:eastAsia="Times New Roman"/>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2"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全国</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8551</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103988</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sz w:val="22"/>
              </w:rPr>
            </w:pPr>
            <w:r>
              <w:rPr>
                <w:rFonts w:ascii="宋体" w:hAnsi="宋体" w:eastAsia="宋体"/>
                <w:sz w:val="22"/>
              </w:rPr>
              <w:t>8270.33</w:t>
            </w:r>
          </w:p>
        </w:tc>
        <w:tc>
          <w:tcPr>
            <w:tcW w:w="1100" w:type="dxa"/>
            <w:shd w:val="clear" w:color="auto" w:fill="auto"/>
            <w:vAlign w:val="bottom"/>
          </w:tcPr>
          <w:p>
            <w:pPr>
              <w:spacing w:line="250" w:lineRule="exact"/>
              <w:jc w:val="center"/>
              <w:rPr>
                <w:rFonts w:ascii="宋体" w:hAnsi="宋体" w:eastAsia="宋体"/>
                <w:w w:val="98"/>
                <w:sz w:val="22"/>
              </w:rPr>
            </w:pPr>
            <w:r>
              <w:rPr>
                <w:rFonts w:ascii="宋体" w:hAnsi="宋体" w:eastAsia="宋体"/>
                <w:w w:val="98"/>
                <w:sz w:val="22"/>
              </w:rPr>
              <w:t>9799.49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北京市</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99</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1403</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136.07</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146.77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天津市</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95</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1299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119.54</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129.60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河北省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437</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5894</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247.74</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245.60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山西省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294</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3233</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186.15</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172.60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内蒙古自治区</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361</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3259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257.71</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262.06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辽宁省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547</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5061</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362.84</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310.98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吉林省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532</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4892</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145.03</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109.88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黑龙江省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254</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1997</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133.33</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112.62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上海市</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123</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1575</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200.00</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219.01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江苏省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630</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5795</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809.26</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932.72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浙江省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326</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3418</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574.58</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668.24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安徽省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439</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4867</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363.87</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447.01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福建省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118</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1415</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258.81</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299.81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江西省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200</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2531</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222.56</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223.45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山东省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334</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4282</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448.62</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495.04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河南省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282</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3752</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221.07</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238.48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湖北省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283</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3615</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305.63</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310.71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湖南省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128</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1903</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104.20</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105.40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广东省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461</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9509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653.54</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855.60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广西壮族自治区</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304</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3909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264.83</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474.33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海南省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56</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970</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8"/>
                <w:sz w:val="22"/>
              </w:rPr>
            </w:pPr>
            <w:r>
              <w:rPr>
                <w:rFonts w:ascii="宋体" w:hAnsi="宋体" w:eastAsia="宋体"/>
                <w:w w:val="98"/>
                <w:sz w:val="22"/>
              </w:rPr>
              <w:t>61.71</w:t>
            </w:r>
          </w:p>
        </w:tc>
        <w:tc>
          <w:tcPr>
            <w:tcW w:w="1100" w:type="dxa"/>
            <w:shd w:val="clear" w:color="auto" w:fill="auto"/>
            <w:vAlign w:val="bottom"/>
          </w:tcPr>
          <w:p>
            <w:pPr>
              <w:spacing w:line="250" w:lineRule="exact"/>
              <w:jc w:val="center"/>
              <w:rPr>
                <w:rFonts w:ascii="宋体" w:hAnsi="宋体" w:eastAsia="宋体"/>
                <w:sz w:val="22"/>
              </w:rPr>
            </w:pPr>
            <w:r>
              <w:rPr>
                <w:rFonts w:ascii="宋体" w:hAnsi="宋体" w:eastAsia="宋体"/>
                <w:sz w:val="22"/>
              </w:rPr>
              <w:t>65.95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重庆市</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266</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6319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734.90</w:t>
            </w:r>
          </w:p>
        </w:tc>
        <w:tc>
          <w:tcPr>
            <w:tcW w:w="1100" w:type="dxa"/>
            <w:shd w:val="clear" w:color="auto" w:fill="auto"/>
            <w:vAlign w:val="bottom"/>
          </w:tcPr>
          <w:p>
            <w:pPr>
              <w:spacing w:line="250" w:lineRule="exact"/>
              <w:jc w:val="center"/>
              <w:rPr>
                <w:rFonts w:ascii="宋体" w:hAnsi="宋体" w:eastAsia="宋体"/>
                <w:w w:val="98"/>
                <w:sz w:val="22"/>
              </w:rPr>
            </w:pPr>
            <w:r>
              <w:rPr>
                <w:rFonts w:ascii="宋体" w:hAnsi="宋体" w:eastAsia="宋体"/>
                <w:w w:val="98"/>
                <w:sz w:val="22"/>
              </w:rPr>
              <w:t>1467.37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四川省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322</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5729</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537.45</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606.15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贵州省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281</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2630</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8"/>
                <w:sz w:val="22"/>
              </w:rPr>
            </w:pPr>
            <w:r>
              <w:rPr>
                <w:rFonts w:ascii="宋体" w:hAnsi="宋体" w:eastAsia="宋体"/>
                <w:w w:val="98"/>
                <w:sz w:val="22"/>
              </w:rPr>
              <w:t>88.52</w:t>
            </w:r>
          </w:p>
        </w:tc>
        <w:tc>
          <w:tcPr>
            <w:tcW w:w="1100" w:type="dxa"/>
            <w:shd w:val="clear" w:color="auto" w:fill="auto"/>
            <w:vAlign w:val="bottom"/>
          </w:tcPr>
          <w:p>
            <w:pPr>
              <w:spacing w:line="250" w:lineRule="exact"/>
              <w:jc w:val="center"/>
              <w:rPr>
                <w:rFonts w:ascii="宋体" w:hAnsi="宋体" w:eastAsia="宋体"/>
                <w:sz w:val="22"/>
              </w:rPr>
            </w:pPr>
            <w:r>
              <w:rPr>
                <w:rFonts w:ascii="宋体" w:hAnsi="宋体" w:eastAsia="宋体"/>
                <w:sz w:val="22"/>
              </w:rPr>
              <w:t>80.99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云南省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272</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2944</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129.13</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127.88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西藏自治区</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18</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156</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8"/>
                <w:sz w:val="22"/>
              </w:rPr>
            </w:pPr>
            <w:r>
              <w:rPr>
                <w:rFonts w:ascii="宋体" w:hAnsi="宋体" w:eastAsia="宋体"/>
                <w:w w:val="98"/>
                <w:sz w:val="22"/>
              </w:rPr>
              <w:t>14.32</w:t>
            </w:r>
          </w:p>
        </w:tc>
        <w:tc>
          <w:tcPr>
            <w:tcW w:w="1100" w:type="dxa"/>
            <w:shd w:val="clear" w:color="auto" w:fill="auto"/>
            <w:vAlign w:val="bottom"/>
          </w:tcPr>
          <w:p>
            <w:pPr>
              <w:spacing w:line="250" w:lineRule="exact"/>
              <w:jc w:val="center"/>
              <w:rPr>
                <w:rFonts w:ascii="宋体" w:hAnsi="宋体" w:eastAsia="宋体"/>
                <w:sz w:val="22"/>
              </w:rPr>
            </w:pPr>
            <w:r>
              <w:rPr>
                <w:rFonts w:ascii="宋体" w:hAnsi="宋体" w:eastAsia="宋体"/>
                <w:sz w:val="22"/>
              </w:rPr>
              <w:t>13.98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陕西省</w:t>
            </w:r>
          </w:p>
        </w:tc>
        <w:tc>
          <w:tcPr>
            <w:tcW w:w="1260" w:type="dxa"/>
            <w:tcBorders>
              <w:right w:val="single" w:color="auto" w:sz="8" w:space="0"/>
            </w:tcBorders>
            <w:shd w:val="clear" w:color="auto" w:fill="auto"/>
            <w:vAlign w:val="bottom"/>
          </w:tcPr>
          <w:p>
            <w:pPr>
              <w:spacing w:line="0" w:lineRule="atLeast"/>
              <w:jc w:val="center"/>
              <w:rPr>
                <w:rFonts w:ascii="宋体" w:hAnsi="宋体" w:eastAsia="宋体"/>
                <w:sz w:val="22"/>
              </w:rPr>
            </w:pPr>
            <w:r>
              <w:rPr>
                <w:rFonts w:ascii="宋体" w:hAnsi="宋体" w:eastAsia="宋体"/>
                <w:sz w:val="22"/>
              </w:rPr>
              <w:t>270</w:t>
            </w:r>
          </w:p>
        </w:tc>
        <w:tc>
          <w:tcPr>
            <w:tcW w:w="1380" w:type="dxa"/>
            <w:tcBorders>
              <w:right w:val="single" w:color="auto" w:sz="8" w:space="0"/>
            </w:tcBorders>
            <w:shd w:val="clear" w:color="auto" w:fill="auto"/>
            <w:vAlign w:val="bottom"/>
          </w:tcPr>
          <w:p>
            <w:pPr>
              <w:spacing w:line="0" w:lineRule="atLeast"/>
              <w:jc w:val="center"/>
              <w:rPr>
                <w:rFonts w:ascii="宋体" w:hAnsi="宋体" w:eastAsia="宋体"/>
                <w:w w:val="99"/>
                <w:sz w:val="22"/>
              </w:rPr>
            </w:pPr>
            <w:r>
              <w:rPr>
                <w:rFonts w:ascii="宋体" w:hAnsi="宋体" w:eastAsia="宋体"/>
                <w:w w:val="99"/>
                <w:sz w:val="22"/>
              </w:rPr>
              <w:t>2868</w:t>
            </w:r>
          </w:p>
        </w:tc>
        <w:tc>
          <w:tcPr>
            <w:tcW w:w="1140" w:type="dxa"/>
            <w:tcBorders>
              <w:right w:val="single" w:color="auto" w:sz="8" w:space="0"/>
            </w:tcBorders>
            <w:shd w:val="clear" w:color="auto" w:fill="auto"/>
            <w:vAlign w:val="bottom"/>
          </w:tcPr>
          <w:p>
            <w:pPr>
              <w:spacing w:line="0" w:lineRule="atLeast"/>
              <w:ind w:right="10"/>
              <w:jc w:val="center"/>
              <w:rPr>
                <w:rFonts w:ascii="宋体" w:hAnsi="宋体" w:eastAsia="宋体"/>
                <w:w w:val="99"/>
                <w:sz w:val="22"/>
              </w:rPr>
            </w:pPr>
            <w:r>
              <w:rPr>
                <w:rFonts w:ascii="宋体" w:hAnsi="宋体" w:eastAsia="宋体"/>
                <w:w w:val="99"/>
                <w:sz w:val="22"/>
              </w:rPr>
              <w:t>245.81</w:t>
            </w:r>
          </w:p>
        </w:tc>
        <w:tc>
          <w:tcPr>
            <w:tcW w:w="1100" w:type="dxa"/>
            <w:shd w:val="clear" w:color="auto" w:fill="auto"/>
            <w:vAlign w:val="bottom"/>
          </w:tcPr>
          <w:p>
            <w:pPr>
              <w:spacing w:line="0" w:lineRule="atLeast"/>
              <w:ind w:right="10"/>
              <w:jc w:val="center"/>
              <w:rPr>
                <w:rFonts w:ascii="宋体" w:hAnsi="宋体" w:eastAsia="宋体"/>
                <w:w w:val="99"/>
                <w:sz w:val="22"/>
              </w:rPr>
            </w:pPr>
            <w:r>
              <w:rPr>
                <w:rFonts w:ascii="宋体" w:hAnsi="宋体" w:eastAsia="宋体"/>
                <w:w w:val="99"/>
                <w:sz w:val="22"/>
              </w:rPr>
              <w:t>241.77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甘肃省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331</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3570</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151.35</w:t>
            </w:r>
          </w:p>
        </w:tc>
        <w:tc>
          <w:tcPr>
            <w:tcW w:w="1100" w:type="dxa"/>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128.99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青海省</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77</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878</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8"/>
                <w:sz w:val="22"/>
              </w:rPr>
            </w:pPr>
            <w:r>
              <w:rPr>
                <w:rFonts w:ascii="宋体" w:hAnsi="宋体" w:eastAsia="宋体"/>
                <w:w w:val="98"/>
                <w:sz w:val="22"/>
              </w:rPr>
              <w:t>47.99</w:t>
            </w:r>
          </w:p>
        </w:tc>
        <w:tc>
          <w:tcPr>
            <w:tcW w:w="1100" w:type="dxa"/>
            <w:shd w:val="clear" w:color="auto" w:fill="auto"/>
            <w:vAlign w:val="bottom"/>
          </w:tcPr>
          <w:p>
            <w:pPr>
              <w:spacing w:line="250" w:lineRule="exact"/>
              <w:jc w:val="center"/>
              <w:rPr>
                <w:rFonts w:ascii="宋体" w:hAnsi="宋体" w:eastAsia="宋体"/>
                <w:sz w:val="22"/>
              </w:rPr>
            </w:pPr>
            <w:r>
              <w:rPr>
                <w:rFonts w:ascii="宋体" w:hAnsi="宋体" w:eastAsia="宋体"/>
                <w:sz w:val="22"/>
              </w:rPr>
              <w:t>47.17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22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宁夏回族自治区</w:t>
            </w:r>
          </w:p>
        </w:tc>
        <w:tc>
          <w:tcPr>
            <w:tcW w:w="1260" w:type="dxa"/>
            <w:tcBorders>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128</w:t>
            </w:r>
          </w:p>
        </w:tc>
        <w:tc>
          <w:tcPr>
            <w:tcW w:w="1380" w:type="dxa"/>
            <w:tcBorders>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1680</w:t>
            </w:r>
          </w:p>
        </w:tc>
        <w:tc>
          <w:tcPr>
            <w:tcW w:w="1140" w:type="dxa"/>
            <w:tcBorders>
              <w:right w:val="single" w:color="auto" w:sz="8" w:space="0"/>
            </w:tcBorders>
            <w:shd w:val="clear" w:color="auto" w:fill="auto"/>
            <w:vAlign w:val="bottom"/>
          </w:tcPr>
          <w:p>
            <w:pPr>
              <w:spacing w:line="250" w:lineRule="exact"/>
              <w:ind w:right="10"/>
              <w:jc w:val="center"/>
              <w:rPr>
                <w:rFonts w:ascii="宋体" w:hAnsi="宋体" w:eastAsia="宋体"/>
                <w:w w:val="98"/>
                <w:sz w:val="22"/>
              </w:rPr>
            </w:pPr>
            <w:r>
              <w:rPr>
                <w:rFonts w:ascii="宋体" w:hAnsi="宋体" w:eastAsia="宋体"/>
                <w:w w:val="98"/>
                <w:sz w:val="22"/>
              </w:rPr>
              <w:t>62.28</w:t>
            </w:r>
          </w:p>
        </w:tc>
        <w:tc>
          <w:tcPr>
            <w:tcW w:w="1100" w:type="dxa"/>
            <w:shd w:val="clear" w:color="auto" w:fill="auto"/>
            <w:vAlign w:val="bottom"/>
          </w:tcPr>
          <w:p>
            <w:pPr>
              <w:spacing w:line="250" w:lineRule="exact"/>
              <w:jc w:val="center"/>
              <w:rPr>
                <w:rFonts w:ascii="宋体" w:hAnsi="宋体" w:eastAsia="宋体"/>
                <w:sz w:val="22"/>
              </w:rPr>
            </w:pPr>
            <w:r>
              <w:rPr>
                <w:rFonts w:ascii="宋体" w:hAnsi="宋体" w:eastAsia="宋体"/>
                <w:sz w:val="22"/>
              </w:rPr>
              <w:t>56.22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1" w:hRule="atLeast"/>
          <w:jc w:val="center"/>
        </w:trPr>
        <w:tc>
          <w:tcPr>
            <w:tcW w:w="2280" w:type="dxa"/>
            <w:tcBorders>
              <w:bottom w:val="single" w:color="auto" w:sz="8" w:space="0"/>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新疆维吾尔自治区</w:t>
            </w:r>
          </w:p>
        </w:tc>
        <w:tc>
          <w:tcPr>
            <w:tcW w:w="1260" w:type="dxa"/>
            <w:tcBorders>
              <w:bottom w:val="single" w:color="auto" w:sz="8" w:space="0"/>
              <w:right w:val="single" w:color="auto" w:sz="8" w:space="0"/>
            </w:tcBorders>
            <w:shd w:val="clear" w:color="auto" w:fill="auto"/>
            <w:vAlign w:val="bottom"/>
          </w:tcPr>
          <w:p>
            <w:pPr>
              <w:spacing w:line="250" w:lineRule="exact"/>
              <w:jc w:val="center"/>
              <w:rPr>
                <w:rFonts w:ascii="宋体" w:hAnsi="宋体" w:eastAsia="宋体"/>
                <w:sz w:val="22"/>
              </w:rPr>
            </w:pPr>
            <w:r>
              <w:rPr>
                <w:rFonts w:ascii="宋体" w:hAnsi="宋体" w:eastAsia="宋体"/>
                <w:sz w:val="22"/>
              </w:rPr>
              <w:t>283</w:t>
            </w:r>
          </w:p>
        </w:tc>
        <w:tc>
          <w:tcPr>
            <w:tcW w:w="1380" w:type="dxa"/>
            <w:tcBorders>
              <w:bottom w:val="single" w:color="auto" w:sz="8" w:space="0"/>
              <w:right w:val="single" w:color="auto" w:sz="8" w:space="0"/>
            </w:tcBorders>
            <w:shd w:val="clear" w:color="auto" w:fill="auto"/>
            <w:vAlign w:val="bottom"/>
          </w:tcPr>
          <w:p>
            <w:pPr>
              <w:spacing w:line="250" w:lineRule="exact"/>
              <w:jc w:val="center"/>
              <w:rPr>
                <w:rFonts w:ascii="宋体" w:hAnsi="宋体" w:eastAsia="宋体"/>
                <w:w w:val="99"/>
                <w:sz w:val="22"/>
              </w:rPr>
            </w:pPr>
            <w:r>
              <w:rPr>
                <w:rFonts w:ascii="宋体" w:hAnsi="宋体" w:eastAsia="宋体"/>
                <w:w w:val="99"/>
                <w:sz w:val="22"/>
              </w:rPr>
              <w:t>2635</w:t>
            </w:r>
          </w:p>
        </w:tc>
        <w:tc>
          <w:tcPr>
            <w:tcW w:w="1140" w:type="dxa"/>
            <w:tcBorders>
              <w:bottom w:val="single" w:color="auto" w:sz="8" w:space="0"/>
              <w:right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181.51</w:t>
            </w:r>
          </w:p>
        </w:tc>
        <w:tc>
          <w:tcPr>
            <w:tcW w:w="1100" w:type="dxa"/>
            <w:tcBorders>
              <w:bottom w:val="single" w:color="auto" w:sz="8" w:space="0"/>
            </w:tcBorders>
            <w:shd w:val="clear" w:color="auto" w:fill="auto"/>
            <w:vAlign w:val="bottom"/>
          </w:tcPr>
          <w:p>
            <w:pPr>
              <w:spacing w:line="250" w:lineRule="exact"/>
              <w:ind w:right="10"/>
              <w:jc w:val="center"/>
              <w:rPr>
                <w:rFonts w:ascii="宋体" w:hAnsi="宋体" w:eastAsia="宋体"/>
                <w:w w:val="99"/>
                <w:sz w:val="22"/>
              </w:rPr>
            </w:pPr>
            <w:r>
              <w:rPr>
                <w:rFonts w:ascii="宋体" w:hAnsi="宋体" w:eastAsia="宋体"/>
                <w:w w:val="99"/>
                <w:sz w:val="22"/>
              </w:rPr>
              <w:t>203.13</w:t>
            </w:r>
          </w:p>
        </w:tc>
      </w:tr>
    </w:tbl>
    <w:p>
      <w:pPr>
        <w:spacing w:line="178" w:lineRule="exact"/>
        <w:rPr>
          <w:rFonts w:hint="eastAsia" w:ascii="华文楷体" w:hAnsi="华文楷体" w:eastAsia="华文楷体" w:cs="华文楷体"/>
          <w:sz w:val="24"/>
          <w:szCs w:val="24"/>
        </w:rPr>
      </w:pPr>
    </w:p>
    <w:p>
      <w:pPr>
        <w:spacing w:line="234" w:lineRule="auto"/>
        <w:ind w:left="-1" w:leftChars="0" w:right="40" w:firstLine="0" w:firstLineChars="0"/>
        <w:jc w:val="both"/>
        <w:rPr>
          <w:rFonts w:hint="eastAsia" w:ascii="华文楷体" w:hAnsi="华文楷体" w:eastAsia="华文楷体" w:cs="华文楷体"/>
          <w:sz w:val="22"/>
          <w:szCs w:val="22"/>
        </w:rPr>
      </w:pPr>
      <w:r>
        <w:rPr>
          <w:rFonts w:hint="eastAsia" w:ascii="华文楷体" w:hAnsi="华文楷体" w:eastAsia="华文楷体" w:cs="华文楷体"/>
          <w:sz w:val="22"/>
          <w:szCs w:val="22"/>
        </w:rPr>
        <w:t>注：由于批准设立与正式营业并具备报数条件之间存在时滞，统计口径小额贷款公司数量与各地公布的小额贷款公司批准设立数量有差别。</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2" w:name="金融市场运行情况"/>
      <w:r>
        <w:rPr>
          <w:rFonts w:hint="eastAsia" w:ascii="华文中宋" w:hAnsi="华文中宋" w:eastAsia="华文中宋" w:cs="华文中宋"/>
          <w:b/>
          <w:bCs/>
          <w:sz w:val="24"/>
          <w:szCs w:val="24"/>
          <w:lang w:val="en-US" w:eastAsia="zh-CN"/>
        </w:rPr>
        <w:t>2017年金融市场运行情况</w:t>
      </w:r>
    </w:p>
    <w:bookmarkEnd w:id="12"/>
    <w:p>
      <w:pPr>
        <w:spacing w:line="360" w:lineRule="auto"/>
        <w:ind w:firstLine="360" w:firstLineChars="200"/>
        <w:jc w:val="center"/>
        <w:rPr>
          <w:rFonts w:hint="eastAsia" w:ascii="华文楷体" w:hAnsi="华文楷体" w:eastAsia="华文楷体" w:cs="华文楷体"/>
          <w:b w:val="0"/>
          <w:bCs w:val="0"/>
          <w:sz w:val="18"/>
          <w:szCs w:val="18"/>
          <w:lang w:val="en-US" w:eastAsia="zh-CN"/>
        </w:rPr>
      </w:pPr>
      <w:r>
        <w:rPr>
          <w:rFonts w:hint="eastAsia" w:ascii="华文楷体" w:hAnsi="华文楷体" w:eastAsia="华文楷体" w:cs="华文楷体"/>
          <w:b w:val="0"/>
          <w:bCs w:val="0"/>
          <w:sz w:val="18"/>
          <w:szCs w:val="18"/>
          <w:lang w:val="en-US" w:eastAsia="zh-CN"/>
        </w:rPr>
        <w:t>日期：2018年1月26日 来源：沟通交流、中国人民银行</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387" w:lineRule="exact"/>
        <w:jc w:val="left"/>
        <w:rPr>
          <w:rFonts w:hint="eastAsia" w:ascii="华文楷体" w:hAnsi="华文楷体" w:eastAsia="华文楷体" w:cs="华文楷体"/>
          <w:sz w:val="24"/>
          <w:szCs w:val="24"/>
        </w:rPr>
      </w:pPr>
    </w:p>
    <w:p>
      <w:pPr>
        <w:spacing w:line="360" w:lineRule="auto"/>
        <w:ind w:left="0" w:leftChars="0"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2017 年，债券市场发行规模继续保持增长，交易量有所减少，债券收益率曲线上移，市场投资者结构进一步多元化；货币市场利率有所上行，交易量小幅下降；互换利率小幅上行；股指震荡走升，成交量同比下降。</w:t>
      </w:r>
    </w:p>
    <w:p>
      <w:pPr>
        <w:spacing w:line="215" w:lineRule="exact"/>
        <w:rPr>
          <w:rFonts w:ascii="Times New Roman" w:hAnsi="Times New Roman" w:eastAsia="Times New Roman"/>
          <w:sz w:val="24"/>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b/>
          <w:bCs/>
        </w:rPr>
        <w:t>一、债券发行量保持增长</w:t>
      </w: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2017 年，债券市场共发行各类债券 40.8 万亿元，较上年增长12.9%。其中，银行间债券市场发行债券 36.8 万亿元，同比增长14.2%。截至 2017 年 12 月末，债券市场托管余额为 74.0 万亿元，其中银行间债券市场托管余额为 65.4 万亿元。</w:t>
      </w:r>
    </w:p>
    <w:p>
      <w:pPr>
        <w:spacing w:line="360" w:lineRule="auto"/>
        <w:rPr>
          <w:rFonts w:hint="eastAsia" w:ascii="华文楷体" w:hAnsi="华文楷体" w:eastAsia="华文楷体" w:cs="华文楷体"/>
        </w:rPr>
      </w:pPr>
    </w:p>
    <w:p>
      <w:pPr>
        <w:spacing w:line="360" w:lineRule="auto"/>
        <w:ind w:firstLine="480" w:firstLineChars="200"/>
      </w:pPr>
      <w:r>
        <w:rPr>
          <w:rFonts w:hint="eastAsia" w:ascii="华文楷体" w:hAnsi="华文楷体" w:eastAsia="华文楷体" w:cs="华文楷体"/>
        </w:rPr>
        <w:t>2017 年，国债发行 3.9 万亿元，地方政府债券发行 4.4 万亿元，金融债券</w:t>
      </w:r>
      <w:r>
        <w:rPr>
          <w:rFonts w:hint="eastAsia" w:ascii="华文楷体" w:hAnsi="华文楷体" w:eastAsia="华文楷体" w:cs="华文楷体"/>
          <w:vertAlign w:val="superscript"/>
          <w:lang w:val="en-US" w:eastAsia="zh-CN"/>
        </w:rPr>
        <w:t>1</w:t>
      </w:r>
      <w:r>
        <w:rPr>
          <w:rFonts w:hint="eastAsia" w:ascii="华文楷体" w:hAnsi="华文楷体" w:eastAsia="华文楷体" w:cs="华文楷体"/>
        </w:rPr>
        <w:t>发行 5 万亿元，政府支持机构债券发行 2860 亿元，资产支持证券发行 1.5 万亿元，同业存单发行 20.2 万亿元，公司信用类债券发行 5.5 万亿元。</w:t>
      </w:r>
    </w:p>
    <w:p>
      <w:pPr>
        <w:spacing w:line="144" w:lineRule="exact"/>
        <w:rPr>
          <w:rFonts w:ascii="Times New Roman" w:hAnsi="Times New Roman" w:eastAsia="Times New Roman"/>
          <w:sz w:val="24"/>
        </w:rPr>
      </w:pPr>
      <w:r>
        <w:rPr>
          <w:rFonts w:ascii="仿宋" w:hAnsi="仿宋" w:eastAsia="仿宋"/>
          <w:sz w:val="30"/>
        </w:rPr>
        <w:drawing>
          <wp:anchor distT="0" distB="0" distL="114300" distR="114300" simplePos="0" relativeHeight="251658240" behindDoc="1" locked="0" layoutInCell="0" allowOverlap="1">
            <wp:simplePos x="0" y="0"/>
            <wp:positionH relativeFrom="column">
              <wp:posOffset>12700</wp:posOffset>
            </wp:positionH>
            <wp:positionV relativeFrom="paragraph">
              <wp:posOffset>72390</wp:posOffset>
            </wp:positionV>
            <wp:extent cx="5334000" cy="6350"/>
            <wp:effectExtent l="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334000" cy="6350"/>
                    </a:xfrm>
                    <a:prstGeom prst="rect">
                      <a:avLst/>
                    </a:prstGeom>
                    <a:noFill/>
                    <a:ln w="9525">
                      <a:noFill/>
                    </a:ln>
                  </pic:spPr>
                </pic:pic>
              </a:graphicData>
            </a:graphic>
          </wp:anchor>
        </w:drawing>
      </w:r>
    </w:p>
    <w:p>
      <w:pPr>
        <w:spacing w:line="0" w:lineRule="atLeast"/>
        <w:ind w:left="1840"/>
        <w:rPr>
          <w:rFonts w:ascii="黑体" w:hAnsi="黑体" w:eastAsia="黑体"/>
          <w:sz w:val="21"/>
        </w:rPr>
      </w:pPr>
      <w:r>
        <w:rPr>
          <w:rFonts w:ascii="黑体" w:hAnsi="黑体" w:eastAsia="黑体"/>
          <w:sz w:val="21"/>
        </w:rPr>
        <w:t xml:space="preserve">图 </w:t>
      </w:r>
      <w:r>
        <w:rPr>
          <w:rFonts w:ascii="Times New Roman" w:hAnsi="Times New Roman" w:eastAsia="Times New Roman"/>
          <w:sz w:val="21"/>
        </w:rPr>
        <w:t>1</w:t>
      </w:r>
      <w:r>
        <w:rPr>
          <w:rFonts w:ascii="黑体" w:hAnsi="黑体" w:eastAsia="黑体"/>
          <w:sz w:val="21"/>
        </w:rPr>
        <w:t>：近年来债券市场主要债券品种发行量变化情况</w:t>
      </w:r>
    </w:p>
    <w:p>
      <w:pPr>
        <w:spacing w:line="200" w:lineRule="exact"/>
        <w:rPr>
          <w:rFonts w:ascii="Times New Roman" w:hAnsi="Times New Roman" w:eastAsia="Times New Roman"/>
          <w:sz w:val="24"/>
        </w:rPr>
      </w:pPr>
      <w:r>
        <w:rPr>
          <w:rFonts w:ascii="黑体" w:hAnsi="黑体" w:eastAsia="黑体"/>
          <w:sz w:val="21"/>
        </w:rPr>
        <w:drawing>
          <wp:anchor distT="0" distB="0" distL="114300" distR="114300" simplePos="0" relativeHeight="251659264" behindDoc="1" locked="0" layoutInCell="0" allowOverlap="1">
            <wp:simplePos x="0" y="0"/>
            <wp:positionH relativeFrom="column">
              <wp:posOffset>0</wp:posOffset>
            </wp:positionH>
            <wp:positionV relativeFrom="paragraph">
              <wp:posOffset>22860</wp:posOffset>
            </wp:positionV>
            <wp:extent cx="5354320" cy="2635885"/>
            <wp:effectExtent l="0" t="0" r="17780" b="1206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5354320" cy="2635885"/>
                    </a:xfrm>
                    <a:prstGeom prst="rect">
                      <a:avLst/>
                    </a:prstGeom>
                    <a:noFill/>
                    <a:ln w="9525">
                      <a:noFill/>
                    </a:ln>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11" w:lineRule="exact"/>
        <w:rPr>
          <w:rFonts w:ascii="Times New Roman" w:hAnsi="Times New Roman" w:eastAsia="Times New Roman"/>
          <w:sz w:val="24"/>
        </w:rPr>
      </w:pPr>
    </w:p>
    <w:p>
      <w:pPr>
        <w:tabs>
          <w:tab w:val="left" w:pos="7320"/>
        </w:tabs>
        <w:spacing w:line="0" w:lineRule="atLeast"/>
        <w:rPr>
          <w:rFonts w:ascii="黑体" w:hAnsi="黑体" w:eastAsia="黑体"/>
          <w:sz w:val="21"/>
        </w:rPr>
      </w:pPr>
      <w:r>
        <w:rPr>
          <w:rFonts w:ascii="黑体" w:hAnsi="黑体" w:eastAsia="黑体"/>
          <w:sz w:val="21"/>
        </w:rPr>
        <w:t>资料来源：中央结算公司、上海清算所、上交所、深交所</w:t>
      </w:r>
      <w:r>
        <w:rPr>
          <w:rFonts w:ascii="Times New Roman" w:hAnsi="Times New Roman" w:eastAsia="Times New Roman"/>
        </w:rPr>
        <w:tab/>
      </w:r>
      <w:r>
        <w:rPr>
          <w:rFonts w:ascii="黑体" w:hAnsi="黑体" w:eastAsia="黑体"/>
          <w:sz w:val="21"/>
        </w:rPr>
        <w:t>单位：亿元</w:t>
      </w:r>
    </w:p>
    <w:p>
      <w:pPr>
        <w:spacing w:line="313" w:lineRule="exact"/>
        <w:rPr>
          <w:rFonts w:ascii="Times New Roman" w:hAnsi="Times New Roman" w:eastAsia="Times New Roman"/>
          <w:sz w:val="24"/>
        </w:rPr>
      </w:pPr>
      <w:r>
        <w:rPr>
          <w:rFonts w:ascii="黑体" w:hAnsi="黑体" w:eastAsia="黑体"/>
          <w:sz w:val="21"/>
        </w:rPr>
        <w:drawing>
          <wp:anchor distT="0" distB="0" distL="114300" distR="114300" simplePos="0" relativeHeight="251660288" behindDoc="1" locked="0" layoutInCell="0" allowOverlap="1">
            <wp:simplePos x="0" y="0"/>
            <wp:positionH relativeFrom="column">
              <wp:posOffset>12700</wp:posOffset>
            </wp:positionH>
            <wp:positionV relativeFrom="paragraph">
              <wp:posOffset>112395</wp:posOffset>
            </wp:positionV>
            <wp:extent cx="1828800" cy="12700"/>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1828800" cy="12700"/>
                    </a:xfrm>
                    <a:prstGeom prst="rect">
                      <a:avLst/>
                    </a:prstGeom>
                    <a:noFill/>
                    <a:ln w="9525">
                      <a:noFill/>
                    </a:ln>
                  </pic:spPr>
                </pic:pic>
              </a:graphicData>
            </a:graphic>
          </wp:anchor>
        </w:drawing>
      </w:r>
      <w:r>
        <w:rPr>
          <w:rFonts w:ascii="黑体" w:hAnsi="黑体" w:eastAsia="黑体"/>
          <w:sz w:val="21"/>
        </w:rPr>
        <w:drawing>
          <wp:anchor distT="0" distB="0" distL="114300" distR="114300" simplePos="0" relativeHeight="251661312" behindDoc="1" locked="0" layoutInCell="0" allowOverlap="1">
            <wp:simplePos x="0" y="0"/>
            <wp:positionH relativeFrom="column">
              <wp:posOffset>0</wp:posOffset>
            </wp:positionH>
            <wp:positionV relativeFrom="paragraph">
              <wp:posOffset>30480</wp:posOffset>
            </wp:positionV>
            <wp:extent cx="5334000" cy="6350"/>
            <wp:effectExtent l="0" t="0" r="0" b="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334000" cy="6350"/>
                    </a:xfrm>
                    <a:prstGeom prst="rect">
                      <a:avLst/>
                    </a:prstGeom>
                    <a:noFill/>
                    <a:ln w="9525">
                      <a:noFill/>
                    </a:ln>
                  </pic:spPr>
                </pic:pic>
              </a:graphicData>
            </a:graphic>
          </wp:anchor>
        </w:drawing>
      </w:r>
    </w:p>
    <w:p>
      <w:pPr>
        <w:spacing w:line="215" w:lineRule="auto"/>
        <w:ind w:left="20" w:right="220"/>
        <w:rPr>
          <w:rFonts w:ascii="宋体" w:hAnsi="宋体" w:eastAsia="宋体"/>
          <w:sz w:val="18"/>
        </w:rPr>
      </w:pPr>
      <w:r>
        <w:rPr>
          <w:rFonts w:ascii="Times New Roman" w:hAnsi="Times New Roman" w:eastAsia="Times New Roman"/>
          <w:sz w:val="23"/>
          <w:vertAlign w:val="superscript"/>
        </w:rPr>
        <w:t>1</w:t>
      </w:r>
      <w:r>
        <w:rPr>
          <w:rFonts w:ascii="宋体" w:hAnsi="宋体" w:eastAsia="宋体"/>
          <w:sz w:val="18"/>
        </w:rPr>
        <w:t>包括国开行金融债、政策性银行债、普通金融债、二级资本债、资本补充债、证券公司短期融资券和交易所金融债</w:t>
      </w:r>
    </w:p>
    <w:p>
      <w:pPr>
        <w:spacing w:line="215" w:lineRule="auto"/>
        <w:ind w:left="20" w:right="220"/>
        <w:rPr>
          <w:rFonts w:ascii="宋体" w:hAnsi="宋体" w:eastAsia="宋体"/>
          <w:sz w:val="18"/>
        </w:rPr>
        <w:sectPr>
          <w:footerReference r:id="rId7" w:type="default"/>
          <w:pgSz w:w="11900" w:h="16838"/>
          <w:pgMar w:top="1440" w:right="1803" w:bottom="1440" w:left="1803" w:header="0" w:footer="567" w:gutter="0"/>
          <w:paperSrc/>
          <w:pgNumType w:fmt="decimal"/>
          <w:cols w:space="425" w:num="1"/>
          <w:rtlGutter w:val="0"/>
          <w:docGrid w:linePitch="360" w:charSpace="0"/>
        </w:sectPr>
      </w:pPr>
    </w:p>
    <w:p>
      <w:pPr>
        <w:spacing w:line="14" w:lineRule="exact"/>
        <w:rPr>
          <w:rFonts w:ascii="Times New Roman" w:hAnsi="Times New Roman" w:eastAsia="Times New Roman"/>
          <w:sz w:val="24"/>
        </w:rPr>
      </w:pPr>
    </w:p>
    <w:p>
      <w:pPr>
        <w:spacing w:line="0" w:lineRule="atLeast"/>
        <w:rPr>
          <w:rFonts w:ascii="Times New Roman" w:hAnsi="Times New Roman" w:eastAsia="Times New Roman"/>
          <w:sz w:val="16"/>
        </w:rPr>
        <w:sectPr>
          <w:type w:val="continuous"/>
          <w:pgSz w:w="11900" w:h="16838"/>
          <w:pgMar w:top="1440" w:right="1803" w:bottom="1440" w:left="1803" w:header="0" w:footer="567" w:gutter="0"/>
          <w:paperSrc/>
          <w:pgNumType w:fmt="decimal"/>
          <w:cols w:space="425" w:num="1"/>
          <w:rtlGutter w:val="0"/>
          <w:docGrid w:linePitch="360" w:charSpace="0"/>
        </w:sectPr>
      </w:pPr>
    </w:p>
    <w:p>
      <w:pPr>
        <w:spacing w:line="154" w:lineRule="exact"/>
        <w:rPr>
          <w:rFonts w:ascii="Times New Roman" w:hAnsi="Times New Roman" w:eastAsia="Times New Roman"/>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b/>
          <w:bCs/>
        </w:rPr>
        <w:t>二、银行间市场成交量有所减少</w:t>
      </w: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2017 年，银行间市场信用拆借、回购交易成交总量 695.3 万亿元，同比下降 0.3%。其中，同业拆借累计成交 79.0 万亿元，同比下降 17.7%；质押式回购累计成交 588.3 万亿元，同比增长3.5%；买断式回购累计成交 28.1 万亿元，同比下降 14.9%。</w:t>
      </w: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2017 年，债券市场现券交易量 108.4 万亿元，同比下降 18.0%。其中，银行间市场现券累计成交 102.8 万亿元，日均成交 4097 亿元，同比下降 19.1%。交易所现券累计成交 5.6 万亿元，日均成交 227.9 亿元，同比增长 9.8%。</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b/>
          <w:bCs/>
        </w:rPr>
        <w:t>三、货币市场利率和债券收益率上行</w:t>
      </w:r>
    </w:p>
    <w:p>
      <w:pPr>
        <w:spacing w:line="360" w:lineRule="auto"/>
        <w:ind w:firstLine="720" w:firstLineChars="300"/>
        <w:rPr>
          <w:rFonts w:hint="eastAsia" w:ascii="华文楷体" w:hAnsi="华文楷体" w:eastAsia="华文楷体" w:cs="华文楷体"/>
        </w:rPr>
      </w:pPr>
      <w:r>
        <w:rPr>
          <w:rFonts w:hint="eastAsia" w:ascii="华文楷体" w:hAnsi="华文楷体" w:eastAsia="华文楷体" w:cs="华文楷体"/>
        </w:rPr>
        <w:t>2017 年 12 月份，银行间货币市场同业拆借月加权平均利率为 2.91%；质押式回购月加权平均利率为 3.11%。</w:t>
      </w:r>
    </w:p>
    <w:p>
      <w:pPr>
        <w:spacing w:line="360" w:lineRule="auto"/>
        <w:ind w:firstLine="720" w:firstLineChars="3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2017 年，债券收益率曲线整体上移。12 月末，1 年、3 年、5年、7 年、10 年期国债收益率分别为 3.79%、3.78%、3.84%、3.90%、3.88%；5 年期 AAA 级、AA+级和 AA 级中短期票据收益率分别为 5.42%、5.67%、5.87%；中债综合全价指数为 113.37 点；交易所上证国债指数为 160.85 点。</w:t>
      </w:r>
    </w:p>
    <w:p>
      <w:pPr>
        <w:spacing w:line="103" w:lineRule="exact"/>
        <w:rPr>
          <w:rFonts w:ascii="Times New Roman" w:hAnsi="Times New Roman" w:eastAsia="Times New Roman"/>
        </w:rPr>
      </w:pPr>
      <w:r>
        <w:rPr>
          <w:rFonts w:ascii="仿宋" w:hAnsi="仿宋" w:eastAsia="仿宋"/>
          <w:sz w:val="30"/>
        </w:rPr>
        <w:drawing>
          <wp:anchor distT="0" distB="0" distL="114300" distR="114300" simplePos="0" relativeHeight="251662336" behindDoc="1" locked="0" layoutInCell="0" allowOverlap="1">
            <wp:simplePos x="0" y="0"/>
            <wp:positionH relativeFrom="column">
              <wp:posOffset>0</wp:posOffset>
            </wp:positionH>
            <wp:positionV relativeFrom="paragraph">
              <wp:posOffset>46990</wp:posOffset>
            </wp:positionV>
            <wp:extent cx="5334000" cy="6350"/>
            <wp:effectExtent l="0" t="0" r="0"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5334000" cy="6350"/>
                    </a:xfrm>
                    <a:prstGeom prst="rect">
                      <a:avLst/>
                    </a:prstGeom>
                    <a:noFill/>
                    <a:ln w="9525">
                      <a:noFill/>
                    </a:ln>
                  </pic:spPr>
                </pic:pic>
              </a:graphicData>
            </a:graphic>
          </wp:anchor>
        </w:drawing>
      </w:r>
    </w:p>
    <w:p>
      <w:pPr>
        <w:spacing w:line="0" w:lineRule="atLeast"/>
        <w:ind w:left="1880"/>
        <w:rPr>
          <w:rFonts w:ascii="黑体" w:hAnsi="黑体" w:eastAsia="黑体"/>
          <w:sz w:val="21"/>
        </w:rPr>
      </w:pPr>
      <w:r>
        <w:rPr>
          <w:rFonts w:ascii="黑体" w:hAnsi="黑体" w:eastAsia="黑体"/>
          <w:sz w:val="21"/>
        </w:rPr>
        <w:t xml:space="preserve">图 </w:t>
      </w:r>
      <w:r>
        <w:rPr>
          <w:rFonts w:ascii="Times New Roman" w:hAnsi="Times New Roman" w:eastAsia="Times New Roman"/>
          <w:sz w:val="21"/>
        </w:rPr>
        <w:t>2</w:t>
      </w:r>
      <w:r>
        <w:rPr>
          <w:rFonts w:ascii="黑体" w:hAnsi="黑体" w:eastAsia="黑体"/>
          <w:sz w:val="21"/>
        </w:rPr>
        <w:t>：</w:t>
      </w:r>
      <w:r>
        <w:rPr>
          <w:rFonts w:ascii="Times New Roman" w:hAnsi="Times New Roman" w:eastAsia="Times New Roman"/>
          <w:sz w:val="21"/>
        </w:rPr>
        <w:t>2017</w:t>
      </w:r>
      <w:r>
        <w:rPr>
          <w:rFonts w:ascii="黑体" w:hAnsi="黑体" w:eastAsia="黑体"/>
          <w:sz w:val="21"/>
        </w:rPr>
        <w:t xml:space="preserve"> 年银行间市场国债收益率曲线变化情况</w:t>
      </w:r>
    </w:p>
    <w:p>
      <w:pPr>
        <w:spacing w:line="200" w:lineRule="exact"/>
        <w:rPr>
          <w:rFonts w:ascii="Times New Roman" w:hAnsi="Times New Roman" w:eastAsia="Times New Roman"/>
        </w:rPr>
      </w:pPr>
      <w:r>
        <w:rPr>
          <w:rFonts w:ascii="黑体" w:hAnsi="黑体" w:eastAsia="黑体"/>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23495</wp:posOffset>
            </wp:positionV>
            <wp:extent cx="5334000" cy="2244090"/>
            <wp:effectExtent l="0" t="0" r="0" b="3810"/>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334000" cy="224409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4" w:lineRule="exact"/>
        <w:rPr>
          <w:rFonts w:ascii="Times New Roman" w:hAnsi="Times New Roman" w:eastAsia="Times New Roman"/>
        </w:rPr>
      </w:pPr>
    </w:p>
    <w:p>
      <w:pPr>
        <w:spacing w:line="0" w:lineRule="atLeast"/>
        <w:rPr>
          <w:rFonts w:ascii="黑体" w:hAnsi="黑体" w:eastAsia="黑体"/>
          <w:sz w:val="21"/>
        </w:rPr>
      </w:pPr>
      <w:r>
        <w:rPr>
          <w:rFonts w:ascii="黑体" w:hAnsi="黑体" w:eastAsia="黑体"/>
          <w:sz w:val="21"/>
        </w:rPr>
        <w:t>资料来源：中央国债登记结算有限责任公司</w:t>
      </w:r>
    </w:p>
    <w:p>
      <w:pPr>
        <w:spacing w:line="0" w:lineRule="atLeast"/>
        <w:rPr>
          <w:rFonts w:ascii="黑体" w:hAnsi="黑体" w:eastAsia="黑体"/>
          <w:sz w:val="21"/>
        </w:rPr>
        <w:sectPr>
          <w:pgSz w:w="11900" w:h="16838"/>
          <w:pgMar w:top="1440" w:right="1803" w:bottom="1440" w:left="1803" w:header="0" w:footer="567" w:gutter="0"/>
          <w:paperSrc/>
          <w:pgNumType w:fmt="decimal"/>
          <w:cols w:space="425" w:num="1"/>
          <w:rtlGutter w:val="0"/>
          <w:docGrid w:linePitch="360" w:charSpace="0"/>
        </w:sectPr>
      </w:pPr>
      <w:r>
        <w:rPr>
          <w:rFonts w:ascii="黑体" w:hAnsi="黑体" w:eastAsia="黑体"/>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31115</wp:posOffset>
            </wp:positionV>
            <wp:extent cx="5334000" cy="6350"/>
            <wp:effectExtent l="0" t="0" r="0" b="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334000" cy="6350"/>
                    </a:xfrm>
                    <a:prstGeom prst="rect">
                      <a:avLst/>
                    </a:prstGeom>
                    <a:noFill/>
                    <a:ln w="9525">
                      <a:noFill/>
                    </a:ln>
                  </pic:spPr>
                </pic:pic>
              </a:graphicData>
            </a:graphic>
          </wp:anchor>
        </w:drawing>
      </w:r>
    </w:p>
    <w:p>
      <w:pPr>
        <w:spacing w:line="319" w:lineRule="exact"/>
        <w:rPr>
          <w:rFonts w:ascii="Times New Roman" w:hAnsi="Times New Roman" w:eastAsia="Times New Roman"/>
        </w:rPr>
      </w:pPr>
    </w:p>
    <w:p>
      <w:pPr>
        <w:spacing w:line="154" w:lineRule="exact"/>
        <w:rPr>
          <w:rFonts w:ascii="Times New Roman" w:hAnsi="Times New Roman" w:eastAsia="Times New Roman"/>
        </w:rPr>
      </w:pP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b/>
          <w:bCs/>
        </w:rPr>
        <w:t>四、投资者结构进一步多元化</w:t>
      </w: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rPr>
        <w:t>截至 2017 年末，银行间市场各类参与主体共计 18681 家，较上年末增加 3437 家。其中，境内法人类机构 2665 家，较上年末增加 235 家；境内非法人类机构 15458 家，较上年末增加 2999家；境外机构投资者 617 家，较上年末增加 210 家。</w:t>
      </w:r>
    </w:p>
    <w:p>
      <w:pPr>
        <w:spacing w:line="360" w:lineRule="auto"/>
        <w:ind w:firstLine="480" w:firstLineChars="200"/>
        <w:jc w:val="left"/>
        <w:rPr>
          <w:rFonts w:hint="eastAsia" w:ascii="华文楷体" w:hAnsi="华文楷体" w:eastAsia="华文楷体" w:cs="华文楷体"/>
        </w:rPr>
      </w:pP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rPr>
        <w:t>2017 年末，银行间市场存款类金融机构持有债券余额 38.01万亿元，持债占比 58.1%，较上年末下降 0.6 个百分点；非法人机构投资者持债规模 18.54 万亿元，占比为 28.3%，较上年末提高 0.9 个百分点。公司信用类债券持有者中存款类机构继续下降，存款类金融机构、非银行金融机构、非法人机构投资者和其他投资者的持有债券占比分别为 21.7%、7.1%、71.2%。</w:t>
      </w:r>
    </w:p>
    <w:p>
      <w:pPr>
        <w:spacing w:line="360" w:lineRule="auto"/>
        <w:ind w:firstLine="480" w:firstLineChars="200"/>
        <w:jc w:val="left"/>
        <w:rPr>
          <w:rFonts w:hint="eastAsia" w:ascii="华文楷体" w:hAnsi="华文楷体" w:eastAsia="华文楷体" w:cs="华文楷体"/>
        </w:rPr>
      </w:pP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b/>
          <w:bCs/>
        </w:rPr>
        <w:t>五、利率衍生品交易量同比增长，互换利率小幅上行</w:t>
      </w: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rPr>
        <w:t>2017 年，银行间人民币利率衍生品市场累计成交 14.4 万亿元，同比增长 45.2%。其中，利率互换成交名义本金总额 14.4 万亿元，同比增长 45.2%；债券远期成交 12 亿元，信用违约互换成交 7 亿元。利率互换期限品种主要以短期品种为主，1 年期及以下交易名义本金额占总成交量的 76.9%；浮动端参考利率为 7 天回购定盘利率（FR007），占比为 79.1%。</w:t>
      </w:r>
    </w:p>
    <w:p>
      <w:pPr>
        <w:spacing w:line="360" w:lineRule="auto"/>
        <w:ind w:firstLine="480" w:firstLineChars="200"/>
        <w:jc w:val="left"/>
        <w:rPr>
          <w:rFonts w:hint="eastAsia" w:ascii="华文楷体" w:hAnsi="华文楷体" w:eastAsia="华文楷体" w:cs="华文楷体"/>
        </w:rPr>
      </w:pP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rPr>
        <w:t>互换利率小幅上行。2017 年末，1 年期 FR007 互换利率为3.70%，5 年期 FR007 互换利率为 4.04%。</w:t>
      </w:r>
    </w:p>
    <w:p>
      <w:pPr>
        <w:spacing w:line="360" w:lineRule="auto"/>
        <w:jc w:val="left"/>
        <w:rPr>
          <w:rFonts w:hint="eastAsia" w:ascii="华文楷体" w:hAnsi="华文楷体" w:eastAsia="华文楷体" w:cs="华文楷体"/>
        </w:rPr>
      </w:pP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b/>
          <w:bCs/>
        </w:rPr>
        <w:t>六、股票市场股指震荡走升</w:t>
      </w:r>
    </w:p>
    <w:p>
      <w:pPr>
        <w:spacing w:line="360" w:lineRule="auto"/>
        <w:ind w:firstLine="480" w:firstLineChars="200"/>
        <w:jc w:val="left"/>
        <w:rPr>
          <w:rFonts w:hint="eastAsia" w:ascii="华文楷体" w:hAnsi="华文楷体" w:eastAsia="华文楷体" w:cs="华文楷体"/>
        </w:rPr>
      </w:pPr>
      <w:r>
        <w:rPr>
          <w:rFonts w:hint="eastAsia" w:ascii="华文楷体" w:hAnsi="华文楷体" w:eastAsia="华文楷体" w:cs="华文楷体"/>
        </w:rPr>
        <w:t>2017 年，股票市场整体震荡走升，上证综指创 2016 年以来新高。上证综指一度突破 3400 点，创 2016 年以来新高，最后收于 3307 点，较上年末上涨 6.56%；深圳成指收于 11040 点，较上年末上涨 8.48%。两市全年成交额 112.8 万亿元，同比下降 11.71%。</w:t>
      </w:r>
    </w:p>
    <w:p>
      <w:pPr>
        <w:spacing w:line="307" w:lineRule="exact"/>
        <w:rPr>
          <w:rFonts w:ascii="黑体" w:hAnsi="黑体" w:eastAsia="黑体"/>
        </w:rPr>
      </w:pPr>
      <w:r>
        <w:rPr>
          <w:rFonts w:ascii="Times New Roman" w:hAnsi="Times New Roman" w:eastAsia="Times New Roman"/>
          <w:sz w:val="16"/>
        </w:rPr>
        <w:drawing>
          <wp:anchor distT="0" distB="0" distL="114300" distR="114300" simplePos="0" relativeHeight="251665408" behindDoc="1" locked="0" layoutInCell="0" allowOverlap="1">
            <wp:simplePos x="0" y="0"/>
            <wp:positionH relativeFrom="page">
              <wp:posOffset>1066800</wp:posOffset>
            </wp:positionH>
            <wp:positionV relativeFrom="page">
              <wp:posOffset>1088390</wp:posOffset>
            </wp:positionV>
            <wp:extent cx="5334000" cy="6350"/>
            <wp:effectExtent l="0" t="0" r="0" b="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5334000" cy="6350"/>
                    </a:xfrm>
                    <a:prstGeom prst="rect">
                      <a:avLst/>
                    </a:prstGeom>
                    <a:noFill/>
                    <a:ln w="9525">
                      <a:noFill/>
                    </a:ln>
                  </pic:spPr>
                </pic:pic>
              </a:graphicData>
            </a:graphic>
          </wp:anchor>
        </w:drawing>
      </w:r>
      <w:r>
        <w:rPr>
          <w:rFonts w:ascii="黑体" w:hAnsi="黑体" w:eastAsia="黑体"/>
          <w:sz w:val="21"/>
        </w:rPr>
        <w:t>图</w:t>
      </w:r>
      <w:r>
        <w:rPr>
          <w:rFonts w:ascii="Times New Roman" w:hAnsi="Times New Roman" w:eastAsia="Times New Roman"/>
        </w:rPr>
        <w:tab/>
      </w:r>
      <w:r>
        <w:rPr>
          <w:rFonts w:ascii="黑体" w:hAnsi="黑体" w:eastAsia="黑体"/>
          <w:sz w:val="21"/>
        </w:rPr>
        <w:t>上交所股票成交量价走势</w:t>
      </w:r>
      <w:r>
        <w:rPr>
          <w:rFonts w:ascii="Times New Roman" w:hAnsi="Times New Roman" w:eastAsia="Times New Roman"/>
        </w:rPr>
        <w:tab/>
      </w:r>
      <w:r>
        <w:rPr>
          <w:rFonts w:ascii="黑体" w:hAnsi="黑体" w:eastAsia="黑体"/>
          <w:sz w:val="21"/>
        </w:rPr>
        <w:t>图</w:t>
      </w:r>
      <w:r>
        <w:rPr>
          <w:rFonts w:ascii="Times New Roman" w:hAnsi="Times New Roman" w:eastAsia="Times New Roman"/>
        </w:rPr>
        <w:tab/>
      </w:r>
      <w:r>
        <w:rPr>
          <w:rFonts w:ascii="黑体" w:hAnsi="黑体" w:eastAsia="黑体"/>
        </w:rPr>
        <w:t>：深交所股票成交量价走势</w:t>
      </w:r>
    </w:p>
    <w:p>
      <w:pPr>
        <w:spacing w:line="200" w:lineRule="exact"/>
        <w:rPr>
          <w:rFonts w:ascii="Times New Roman" w:hAnsi="Times New Roman" w:eastAsia="Times New Roman"/>
        </w:rPr>
      </w:pPr>
      <w:r>
        <w:rPr>
          <w:rFonts w:ascii="黑体" w:hAnsi="黑体" w:eastAsia="黑体"/>
        </w:rPr>
        <w:drawing>
          <wp:anchor distT="0" distB="0" distL="114300" distR="114300" simplePos="0" relativeHeight="251666432" behindDoc="1" locked="0" layoutInCell="0" allowOverlap="1">
            <wp:simplePos x="0" y="0"/>
            <wp:positionH relativeFrom="column">
              <wp:posOffset>0</wp:posOffset>
            </wp:positionH>
            <wp:positionV relativeFrom="paragraph">
              <wp:posOffset>31115</wp:posOffset>
            </wp:positionV>
            <wp:extent cx="5334000" cy="2684145"/>
            <wp:effectExtent l="0" t="0" r="0" b="1905"/>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334000" cy="268414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8" w:lineRule="exact"/>
        <w:rPr>
          <w:rFonts w:ascii="Times New Roman" w:hAnsi="Times New Roman" w:eastAsia="Times New Roman"/>
        </w:rPr>
      </w:pPr>
    </w:p>
    <w:p>
      <w:pPr>
        <w:spacing w:line="0" w:lineRule="atLeast"/>
        <w:rPr>
          <w:rFonts w:ascii="黑体" w:hAnsi="黑体" w:eastAsia="黑体"/>
          <w:sz w:val="21"/>
        </w:rPr>
      </w:pPr>
      <w:r>
        <w:rPr>
          <w:rFonts w:ascii="黑体" w:hAnsi="黑体" w:eastAsia="黑体"/>
          <w:sz w:val="21"/>
        </w:rPr>
        <w:t>资料来源：上海证券交易所、深圳证券交易所</w:t>
      </w:r>
    </w:p>
    <w:p>
      <w:pPr>
        <w:spacing w:line="200" w:lineRule="exact"/>
        <w:rPr>
          <w:rFonts w:ascii="Times New Roman" w:hAnsi="Times New Roman" w:eastAsia="Times New Roman"/>
        </w:rPr>
      </w:pPr>
      <w:r>
        <w:rPr>
          <w:rFonts w:ascii="黑体" w:hAnsi="黑体" w:eastAsia="黑体"/>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80645</wp:posOffset>
            </wp:positionV>
            <wp:extent cx="5334000" cy="6350"/>
            <wp:effectExtent l="0" t="0" r="0" b="0"/>
            <wp:wrapNone/>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5"/>
                    <a:stretch>
                      <a:fillRect/>
                    </a:stretch>
                  </pic:blipFill>
                  <pic:spPr>
                    <a:xfrm>
                      <a:off x="0" y="0"/>
                      <a:ext cx="5334000" cy="635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2" w:lineRule="exact"/>
        <w:rPr>
          <w:rFonts w:ascii="Times New Roman" w:hAnsi="Times New Roman" w:eastAsia="Times New Roman"/>
        </w:rPr>
      </w:pPr>
    </w:p>
    <w:p>
      <w:pPr>
        <w:spacing w:line="360" w:lineRule="auto"/>
        <w:ind w:left="0" w:leftChars="0" w:firstLine="0" w:firstLineChars="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（资料来源：中国证券监督管理委员会、中央国债登记结算有限责任公司、全国银行间同业拆借中心、银行间市场清算所股份有限公司、上海证券交易所和深圳证券交易所）</w:t>
      </w: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sz w:val="24"/>
          <w:szCs w:val="24"/>
        </w:rPr>
      </w:pPr>
    </w:p>
    <w:p>
      <w:pPr>
        <w:spacing w:line="360" w:lineRule="auto"/>
        <w:jc w:val="center"/>
        <w:rPr>
          <w:rFonts w:hint="eastAsia" w:ascii="华文中宋" w:hAnsi="华文中宋" w:eastAsia="华文中宋" w:cs="华文中宋"/>
          <w:b/>
          <w:bCs/>
          <w:sz w:val="24"/>
          <w:szCs w:val="24"/>
        </w:rPr>
      </w:pPr>
      <w:bookmarkStart w:id="13" w:name="专访银监会主席郭树清：打好防范化解重大金融风险攻坚战"/>
      <w:r>
        <w:rPr>
          <w:rFonts w:hint="eastAsia" w:ascii="华文中宋" w:hAnsi="华文中宋" w:eastAsia="华文中宋" w:cs="华文中宋"/>
          <w:b/>
          <w:bCs/>
          <w:sz w:val="24"/>
          <w:szCs w:val="24"/>
        </w:rPr>
        <w:t>专访银监会主席郭树清：打好防范化解重大金融风险攻坚战</w:t>
      </w:r>
    </w:p>
    <w:bookmarkEnd w:id="13"/>
    <w:p>
      <w:pPr>
        <w:spacing w:line="360" w:lineRule="auto"/>
        <w:jc w:val="center"/>
        <w:rPr>
          <w:rFonts w:hint="eastAsia" w:ascii="华文楷体" w:hAnsi="华文楷体" w:eastAsia="华文楷体" w:cs="华文楷体"/>
          <w:b w:val="0"/>
          <w:bCs w:val="0"/>
          <w:sz w:val="21"/>
          <w:szCs w:val="21"/>
          <w:lang w:eastAsia="zh-CN"/>
        </w:rPr>
      </w:pPr>
      <w:r>
        <w:rPr>
          <w:rFonts w:hint="eastAsia" w:ascii="华文楷体" w:hAnsi="华文楷体" w:eastAsia="华文楷体" w:cs="华文楷体"/>
          <w:b w:val="0"/>
          <w:bCs w:val="0"/>
          <w:sz w:val="21"/>
          <w:szCs w:val="21"/>
          <w:lang w:eastAsia="zh-CN"/>
        </w:rPr>
        <w:t>日期：</w:t>
      </w:r>
      <w:r>
        <w:rPr>
          <w:rFonts w:hint="eastAsia" w:ascii="华文楷体" w:hAnsi="华文楷体" w:eastAsia="华文楷体" w:cs="华文楷体"/>
          <w:b w:val="0"/>
          <w:bCs w:val="0"/>
          <w:sz w:val="21"/>
          <w:szCs w:val="21"/>
          <w:lang w:val="en-US" w:eastAsia="zh-CN"/>
        </w:rPr>
        <w:t>2018年1月23日 来源：中国经济周刊</w:t>
      </w:r>
    </w:p>
    <w:p>
      <w:pPr>
        <w:spacing w:line="360" w:lineRule="auto"/>
        <w:jc w:val="center"/>
        <w:rPr>
          <w:rFonts w:hint="eastAsia" w:ascii="华文中宋" w:hAnsi="华文中宋" w:eastAsia="华文中宋" w:cs="华文中宋"/>
          <w:b/>
          <w:bCs/>
          <w:sz w:val="21"/>
          <w:szCs w:val="21"/>
        </w:rPr>
      </w:pPr>
      <w:r>
        <w:rPr>
          <w:rFonts w:ascii="宋体" w:hAnsi="宋体" w:eastAsia="宋体" w:cs="宋体"/>
          <w:sz w:val="24"/>
          <w:szCs w:val="24"/>
        </w:rPr>
        <w:drawing>
          <wp:inline distT="0" distB="0" distL="114300" distR="114300">
            <wp:extent cx="304800" cy="304800"/>
            <wp:effectExtent l="0" t="0" r="0" b="0"/>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r>
        <w:rPr>
          <w:rFonts w:hint="eastAsia" w:ascii="华文中宋" w:hAnsi="华文中宋" w:eastAsia="华文中宋" w:cs="华文中宋"/>
          <w:b/>
          <w:bCs/>
          <w:sz w:val="24"/>
          <w:szCs w:val="24"/>
        </w:rPr>
        <w:drawing>
          <wp:inline distT="0" distB="0" distL="114300" distR="114300">
            <wp:extent cx="2747010" cy="1833245"/>
            <wp:effectExtent l="0" t="0" r="15240" b="14605"/>
            <wp:docPr id="19" name="图片 19" descr="129796968_1516676332448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9796968_15166763324481n"/>
                    <pic:cNvPicPr>
                      <a:picLocks noChangeAspect="1"/>
                    </pic:cNvPicPr>
                  </pic:nvPicPr>
                  <pic:blipFill>
                    <a:blip r:embed="rId21"/>
                    <a:stretch>
                      <a:fillRect/>
                    </a:stretch>
                  </pic:blipFill>
                  <pic:spPr>
                    <a:xfrm>
                      <a:off x="0" y="0"/>
                      <a:ext cx="2747010" cy="1833245"/>
                    </a:xfrm>
                    <a:prstGeom prst="rect">
                      <a:avLst/>
                    </a:prstGeom>
                  </pic:spPr>
                </pic:pic>
              </a:graphicData>
            </a:graphic>
          </wp:inline>
        </w:drawing>
      </w:r>
    </w:p>
    <w:p>
      <w:pPr>
        <w:spacing w:line="360" w:lineRule="auto"/>
        <w:jc w:val="center"/>
        <w:rPr>
          <w:rFonts w:hint="eastAsia" w:ascii="华文楷体" w:hAnsi="华文楷体" w:eastAsia="华文楷体" w:cs="华文楷体"/>
          <w:b w:val="0"/>
          <w:bCs w:val="0"/>
          <w:sz w:val="21"/>
          <w:szCs w:val="21"/>
        </w:rPr>
      </w:pPr>
      <w:r>
        <w:rPr>
          <w:rFonts w:hint="eastAsia" w:ascii="华文楷体" w:hAnsi="华文楷体" w:eastAsia="华文楷体" w:cs="华文楷体"/>
          <w:b w:val="0"/>
          <w:bCs w:val="0"/>
          <w:sz w:val="21"/>
          <w:szCs w:val="21"/>
        </w:rPr>
        <w:t>《中国经济周刊》首席摄影记者 肖翊 摄</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党的十九大报告提出，要深化金融体制改革，增强金融服务实体经济能力，健全金融监管体系，守住不发生系统性金融风险的底线。银行业资产规模占我国金融资产总量的80%以上，在经济改革与发展中的地位举足轻重。新年伊始，本报记者独家专访了银监会主席郭树清。</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记者</w:t>
      </w:r>
      <w:r>
        <w:rPr>
          <w:rFonts w:hint="eastAsia" w:ascii="华文楷体" w:hAnsi="华文楷体" w:eastAsia="华文楷体" w:cs="华文楷体"/>
          <w:b w:val="0"/>
          <w:bCs w:val="0"/>
          <w:sz w:val="24"/>
          <w:szCs w:val="24"/>
        </w:rPr>
        <w:t>：党的十九大报告要求，要坚决打好防范化解重大风险、精准脱贫、污染防治三大攻坚战。中央经济工作会议再次强调，打好防范化解重大风险攻坚战，重点是防控金融风险。请问为何把防范化解金融风险列为首要战役？</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郭树清</w:t>
      </w:r>
      <w:r>
        <w:rPr>
          <w:rFonts w:hint="eastAsia" w:ascii="华文楷体" w:hAnsi="华文楷体" w:eastAsia="华文楷体" w:cs="华文楷体"/>
          <w:b w:val="0"/>
          <w:bCs w:val="0"/>
          <w:sz w:val="24"/>
          <w:szCs w:val="24"/>
        </w:rPr>
        <w:t>：党的十八大以来，习近平总书记对金融作出一系列重要指示批示和全面系统的论述，构成了习近平新时代中国特色社会主义经济思想的重要组成部分，为我们做好金融工作提供了根本遵循。习近平总书记以超常的预见力和深邃的洞察力，很早就提出要把防控金融风险放在更加重要的位置。</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2017年，根据党中央和国务院的决策部署，金融管理部门从同业、理财、表外业务三个领域入手，开展了多个专项治理和综合治理。经过共同努力，银行业资金脱实向虚势头得到初步遏制，金融内部的杠杆率持续降低，有100多家银行主动缩表。在全年新增贷款12.6%的情况下，银行业总资产只增长8.7%，增速同比下降7.1个百分点，相当于在向实体经济多投入的同时少扩张约16万亿元。同业资产负债自2010年以来首次收缩，同业理财比年初净减少3.4万亿元。银行理财因增速大幅下降而少增5万多亿元，银行通过“特殊目的载体”投资少增约10万亿元。表外业务总规模增速逐月回落，总体呈现收缩态势。交叉金融产品的野蛮生长趋于停止。</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当前，我国金融体系的风险总体可控，但由于多种原因，仍然处于风险易发多发期，面临的形势依然复杂严峻。银行不良资产反弹压力较大，相当多金融机构内控机制不健全，影子银行存量依然较高，违法违规金融行为还时有发生，经济社会生活中的不健康现象和国际上的各种不确定因素都可能对金融体系形成冲击。由此构成的“灰犀牛”和“黑天鹅”隐患威胁着我国的金融稳定。由于金融在经济中具有核心地位，金融风险的突发性、传染性和危害性非常强。一旦发生大的系统性金融动荡，就会严重影响经济社会发展，甚至会干扰全面建成小康社会奋斗目标的达成。因此，把防范和化解金融风险放在首位，是战略思维、辩证思维和底线思维的体现。</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　记者</w:t>
      </w:r>
      <w:r>
        <w:rPr>
          <w:rFonts w:hint="eastAsia" w:ascii="华文楷体" w:hAnsi="华文楷体" w:eastAsia="华文楷体" w:cs="华文楷体"/>
          <w:b w:val="0"/>
          <w:bCs w:val="0"/>
          <w:sz w:val="24"/>
          <w:szCs w:val="24"/>
        </w:rPr>
        <w:t>：下一步银行业防范化解风险的重点是什么？在方式方法上要注意什么问题？</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　郭树清</w:t>
      </w:r>
      <w:r>
        <w:rPr>
          <w:rFonts w:hint="eastAsia" w:ascii="华文楷体" w:hAnsi="华文楷体" w:eastAsia="华文楷体" w:cs="华文楷体"/>
          <w:b w:val="0"/>
          <w:bCs w:val="0"/>
          <w:sz w:val="24"/>
          <w:szCs w:val="24"/>
        </w:rPr>
        <w:t>：根据中央要求，攻坚战的目标是要使宏观杠杆率得到有效控制，金融结构适应性提高，金融服务实体经济能力明显增强，硬性约束制度建设全面加强，系统性风险得到有效防控。围绕上述目标，银行业要加强对各类风险的防范和化解，努力促进形成金融和实体经济、金融和房地产、金融体系内部三个方面的良性循环。为此，需要着力降低企业负债率，抑制居民部门杠杆率；严格规范交叉金融产品，继续拆解影子银行；清理规范金融控股公司，有序处置高风险银行业机构；深入整治各种违规金融行为，坚决打击各种非法集资活动；继续遏制房地产泡沫化倾向，主动配合地方政府整顿隐性债务。</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打好防范化解金融风险攻坚战，习近平总书记不仅提出了战略目标，也对方法论作出深刻阐述。我们要结合银行业实际，深入学习贯彻，从全局上进行整体谋划。要坚持稳中求进总基调，必须在保持经济社会正常运行的前提下，化解各类金融风险。要抓住主要矛盾，找准切入点。坚持标本兼治，疏堵并举。发扬钉钉子精神，一项一项抓落实。要做大量艰苦细致的幕后工作，同时也要注重公开透明，及时发现问题，及时提醒警示，发挥好监管处罚的威慑作用。2017年，银监会共作出3452件行政处罚决定，在全系统形成强监管、严监管的氛围，银行业合规经营意识明显有所提升。</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记者</w:t>
      </w:r>
      <w:r>
        <w:rPr>
          <w:rFonts w:hint="eastAsia" w:ascii="华文楷体" w:hAnsi="华文楷体" w:eastAsia="华文楷体" w:cs="华文楷体"/>
          <w:b w:val="0"/>
          <w:bCs w:val="0"/>
          <w:sz w:val="24"/>
          <w:szCs w:val="24"/>
        </w:rPr>
        <w:t>：党的十九大报告提出，要增强金融服务实体经济能力，监管部门将如何进一步提高银行业服务实体经济的质效？</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郭树清</w:t>
      </w:r>
      <w:r>
        <w:rPr>
          <w:rFonts w:hint="eastAsia" w:ascii="华文楷体" w:hAnsi="华文楷体" w:eastAsia="华文楷体" w:cs="华文楷体"/>
          <w:b w:val="0"/>
          <w:bCs w:val="0"/>
          <w:sz w:val="24"/>
          <w:szCs w:val="24"/>
        </w:rPr>
        <w:t>：服务实体经济是金融的天职，也是防范金融风险的根本举措。2017年，银监会着力推动银行业回归本源、专注主业、优化服务。全年境内新增贷款13.98万亿元，比上年同期多增1.2万亿元。其中，用于小微企业贷款、保障性安居工程贷款、涉农贷款和基础设施行业贷款同比分别增长15.1%、42.3%、9.6%和15.7%，有力支持了国家重大战略的实施，切实增强了对国民经济重点领域和薄弱环节的金融服务。</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今年，要围绕供给侧结构性改革，加强与地方和企业的联系协调，推动结构调整和兼并重组，支持市场化法治化债转股。继续发挥好债委会作用，抓住“僵尸企业”这个牛鼻子，通过多种方式加快处置不良资产，推动企业降杠杆。提升差异化服务能力，有力支持乡村振兴、区域协调和创新驱动等重大战略的实施。进一步做实普惠金融，继续改进小微、“三农”金融服务，精准支持脱贫攻坚。积极推广绿色信贷，积极探索科创企业金融服务模式。深入整治违规收费行为和官商作风，有效降低融资成本。</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记者</w:t>
      </w:r>
      <w:r>
        <w:rPr>
          <w:rFonts w:hint="eastAsia" w:ascii="华文楷体" w:hAnsi="华文楷体" w:eastAsia="华文楷体" w:cs="华文楷体"/>
          <w:b w:val="0"/>
          <w:bCs w:val="0"/>
          <w:sz w:val="24"/>
          <w:szCs w:val="24"/>
        </w:rPr>
        <w:t>：党的十九大对深化改革作出了重大部署，也提出更高要求，下一步银行业改革方向是什么？</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　郭树清</w:t>
      </w:r>
      <w:r>
        <w:rPr>
          <w:rFonts w:hint="eastAsia" w:ascii="华文楷体" w:hAnsi="华文楷体" w:eastAsia="华文楷体" w:cs="华文楷体"/>
          <w:b w:val="0"/>
          <w:bCs w:val="0"/>
          <w:sz w:val="24"/>
          <w:szCs w:val="24"/>
        </w:rPr>
        <w:t>：通过这些年的改革开放，我国银行业的股本结构多元化已基本实现，国有银行的混合所有制改革已经达到较高水平。五大商业银行全部实现整体上市，各类股东遍布海内外。全国性股份制银行、城商行、农商行农信社的股权结构中民营资本占比分别达到43%、55%、86%。当前的主要问题是规范的股东管理和公司治理没有同步跟上。既存在股东不作为、不到位，从而导致“内部人”控制问题；也发生了少数股东乱越位、胡作为，随意干预银行正常经营的问题。有的股东甚至把银行当作自己的提款机，肆意进行不正当关联交易和利益输送。少数不法分子通过复杂架构，虚假出资，循环注资，违规构建庞大的金融集团，已经成为深化金融改革和维护银行体系安全的严重障碍，必须依法予以严肃处理。</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深化银行业改革的重点是完善公司治理结构。首先要加强股权管理和董事会建设。要厘清股权关系，开展股东履约和依法履职情况评估，加强对股东的穿透监管，大力整治隐形股东和股权代持现象。强化董事履职评价、考核和问责，提升独立董事的独立性和专业能力，同时要进一步发挥好监事会的作用。积极探索有中国特色的现代银行制度，把党的领导嵌入公司治理结构之中。与此同时，还要进一步完善银行业机构体系，促进金融市场体系健康发展，通过整治同业业务，统一资管产品监管标准，把更多资金以规范形式引导到多层次股本市场和债券市场。</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记者</w:t>
      </w:r>
      <w:r>
        <w:rPr>
          <w:rFonts w:hint="eastAsia" w:ascii="华文楷体" w:hAnsi="华文楷体" w:eastAsia="华文楷体" w:cs="华文楷体"/>
          <w:b w:val="0"/>
          <w:bCs w:val="0"/>
          <w:sz w:val="24"/>
          <w:szCs w:val="24"/>
        </w:rPr>
        <w:t>：习近平总书记在党的十九大报告中提出“坚定不移全面从严治党”，银监会系统打算怎么干？</w:t>
      </w:r>
    </w:p>
    <w:p>
      <w:pPr>
        <w:spacing w:line="360" w:lineRule="auto"/>
        <w:jc w:val="left"/>
        <w:rPr>
          <w:rFonts w:hint="eastAsia" w:ascii="华文楷体" w:hAnsi="华文楷体" w:eastAsia="华文楷体" w:cs="华文楷体"/>
          <w:b w:val="0"/>
          <w:bCs w:val="0"/>
          <w:sz w:val="24"/>
          <w:szCs w:val="24"/>
        </w:rPr>
      </w:pPr>
    </w:p>
    <w:p>
      <w:pPr>
        <w:spacing w:line="360" w:lineRule="auto"/>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　　</w:t>
      </w:r>
      <w:r>
        <w:rPr>
          <w:rFonts w:hint="eastAsia" w:ascii="华文楷体" w:hAnsi="华文楷体" w:eastAsia="华文楷体" w:cs="华文楷体"/>
          <w:b/>
          <w:bCs/>
          <w:sz w:val="24"/>
          <w:szCs w:val="24"/>
        </w:rPr>
        <w:t>郭树清</w:t>
      </w:r>
      <w:r>
        <w:rPr>
          <w:rFonts w:hint="eastAsia" w:ascii="华文楷体" w:hAnsi="华文楷体" w:eastAsia="华文楷体" w:cs="华文楷体"/>
          <w:b w:val="0"/>
          <w:bCs w:val="0"/>
          <w:sz w:val="24"/>
          <w:szCs w:val="24"/>
        </w:rPr>
        <w:t>：落实好全面从严治党，关键要加强党对金融工作的领导，在银行业系统加强党组织的政治建设，进一步增强“四个意识”，自觉维护以习近平同志为核心的党中央的权威和集中统一领导，更好地以习近平新时代中国特色社会主义思想武装党员干部队伍头脑。2017年，银监会深入推进“两学一做”学习教育常态化制度化，制定了严格实行公私分开的意见和履职回避办法，开展了纪律专题教育，进行了违反中央八项规定精神问题集中曝光和专项整治。我们还根据实施情况，修订了监管履职问责办法，加强对监管者的再监督。去年，我们对重大风险事件中暴露出来的监管履职不尽责不到位问题进行了严肃处理，共问责党组织11个，工作人员69人，其中局级干部7人。对更多的相关人员采取了约谈和提醒等批评教育方式。同时，我们也大力提倡为担当者担当、为尽职者免责，鼓励开拓创新、干事创业。</w:t>
      </w:r>
    </w:p>
    <w:p>
      <w:pPr>
        <w:spacing w:line="360" w:lineRule="auto"/>
        <w:jc w:val="left"/>
        <w:rPr>
          <w:rFonts w:hint="eastAsia" w:ascii="华文楷体" w:hAnsi="华文楷体" w:eastAsia="华文楷体" w:cs="华文楷体"/>
          <w:b w:val="0"/>
          <w:bCs w:val="0"/>
          <w:sz w:val="24"/>
          <w:szCs w:val="24"/>
        </w:rPr>
      </w:pPr>
    </w:p>
    <w:p>
      <w:pPr>
        <w:spacing w:line="360" w:lineRule="auto"/>
        <w:ind w:firstLine="480"/>
        <w:jc w:val="left"/>
        <w:rPr>
          <w:rFonts w:hint="eastAsia" w:ascii="华文楷体" w:hAnsi="华文楷体" w:eastAsia="华文楷体" w:cs="华文楷体"/>
          <w:b w:val="0"/>
          <w:bCs w:val="0"/>
          <w:sz w:val="24"/>
          <w:szCs w:val="24"/>
        </w:rPr>
      </w:pPr>
      <w:r>
        <w:rPr>
          <w:rFonts w:hint="eastAsia" w:ascii="华文楷体" w:hAnsi="华文楷体" w:eastAsia="华文楷体" w:cs="华文楷体"/>
          <w:b w:val="0"/>
          <w:bCs w:val="0"/>
          <w:sz w:val="24"/>
          <w:szCs w:val="24"/>
        </w:rPr>
        <w:t>全面从严治党永远在路上。2018年我们将更加深入地贯彻落实党的十九大关于党的建设的各项要求，进一步提高政治自觉，增强工作本领，锤炼过硬作风。坚持依法监管、严格监管、公正监管、廉洁监管。切实以管党治党的“严紧硬”改变监管工作的“宽松软”，为打好防范重大金融风险攻坚战提供坚强保障。（《人民日报》记者 欧阳洁）</w:t>
      </w:r>
    </w:p>
    <w:p>
      <w:pPr>
        <w:spacing w:line="360" w:lineRule="auto"/>
        <w:ind w:firstLine="480"/>
        <w:jc w:val="left"/>
        <w:rPr>
          <w:rFonts w:hint="eastAsia" w:ascii="华文楷体" w:hAnsi="华文楷体" w:eastAsia="华文楷体" w:cs="华文楷体"/>
          <w:b w:val="0"/>
          <w:bCs w:val="0"/>
          <w:sz w:val="24"/>
          <w:szCs w:val="24"/>
        </w:rPr>
      </w:pPr>
    </w:p>
    <w:p>
      <w:pPr>
        <w:spacing w:line="360" w:lineRule="auto"/>
        <w:ind w:firstLine="480"/>
        <w:jc w:val="left"/>
        <w:rPr>
          <w:rFonts w:hint="eastAsia" w:ascii="华文楷体" w:hAnsi="华文楷体" w:eastAsia="华文楷体" w:cs="华文楷体"/>
          <w:b w:val="0"/>
          <w:bCs w:val="0"/>
          <w:sz w:val="24"/>
          <w:szCs w:val="24"/>
        </w:rPr>
      </w:pPr>
    </w:p>
    <w:p>
      <w:pPr>
        <w:spacing w:line="360" w:lineRule="auto"/>
        <w:ind w:firstLine="480"/>
        <w:jc w:val="left"/>
        <w:rPr>
          <w:rFonts w:hint="eastAsia" w:ascii="华文楷体" w:hAnsi="华文楷体" w:eastAsia="华文楷体" w:cs="华文楷体"/>
          <w:b w:val="0"/>
          <w:bCs w:val="0"/>
          <w:sz w:val="24"/>
          <w:szCs w:val="24"/>
        </w:rPr>
      </w:pPr>
    </w:p>
    <w:p>
      <w:pPr>
        <w:spacing w:line="360" w:lineRule="auto"/>
        <w:ind w:firstLine="480"/>
        <w:jc w:val="left"/>
        <w:rPr>
          <w:rFonts w:hint="eastAsia" w:ascii="华文楷体" w:hAnsi="华文楷体" w:eastAsia="华文楷体" w:cs="华文楷体"/>
          <w:b w:val="0"/>
          <w:bCs w:val="0"/>
          <w:sz w:val="24"/>
          <w:szCs w:val="24"/>
        </w:rPr>
      </w:pPr>
    </w:p>
    <w:p>
      <w:pPr>
        <w:spacing w:line="360" w:lineRule="auto"/>
        <w:jc w:val="both"/>
        <w:rPr>
          <w:rFonts w:hint="eastAsia" w:ascii="华文中宋" w:hAnsi="华文中宋" w:eastAsia="华文中宋" w:cs="华文中宋"/>
          <w:b/>
          <w:bCs/>
          <w:sz w:val="24"/>
          <w:szCs w:val="24"/>
        </w:rPr>
      </w:pPr>
    </w:p>
    <w:p>
      <w:pPr>
        <w:spacing w:line="360" w:lineRule="auto"/>
        <w:ind w:firstLine="480"/>
        <w:jc w:val="center"/>
        <w:rPr>
          <w:rFonts w:hint="eastAsia" w:ascii="华文中宋" w:hAnsi="华文中宋" w:eastAsia="华文中宋" w:cs="华文中宋"/>
          <w:b/>
          <w:bCs/>
          <w:sz w:val="24"/>
          <w:szCs w:val="24"/>
        </w:rPr>
      </w:pPr>
      <w:bookmarkStart w:id="14" w:name="达沃斯热议：下一场全球金融危机方星海怒怼：妄想做空中国牟利"/>
      <w:r>
        <w:rPr>
          <w:rFonts w:hint="eastAsia" w:ascii="华文中宋" w:hAnsi="华文中宋" w:eastAsia="华文中宋" w:cs="华文中宋"/>
          <w:b/>
          <w:bCs/>
          <w:sz w:val="24"/>
          <w:szCs w:val="24"/>
        </w:rPr>
        <w:t>达沃斯热议：下一场全球金融危机 方星海怒怼：妄想做空中国牟利</w:t>
      </w:r>
    </w:p>
    <w:bookmarkEnd w:id="14"/>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eastAsia="zh-CN"/>
        </w:rPr>
        <w:t>日期：</w:t>
      </w:r>
      <w:r>
        <w:rPr>
          <w:rFonts w:hint="eastAsia" w:ascii="华文楷体" w:hAnsi="华文楷体" w:eastAsia="华文楷体" w:cs="华文楷体"/>
          <w:b w:val="0"/>
          <w:bCs w:val="0"/>
          <w:sz w:val="21"/>
          <w:szCs w:val="21"/>
          <w:lang w:val="en-US" w:eastAsia="zh-CN"/>
        </w:rPr>
        <w:t>2018年1月24日 来源：牛股王</w:t>
      </w:r>
    </w:p>
    <w:p>
      <w:pPr>
        <w:spacing w:line="36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948305" cy="1861185"/>
            <wp:effectExtent l="0" t="0" r="4445" b="5715"/>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22"/>
                    <a:stretch>
                      <a:fillRect/>
                    </a:stretch>
                  </pic:blipFill>
                  <pic:spPr>
                    <a:xfrm>
                      <a:off x="0" y="0"/>
                      <a:ext cx="2948305" cy="1861185"/>
                    </a:xfrm>
                    <a:prstGeom prst="rect">
                      <a:avLst/>
                    </a:prstGeom>
                    <a:noFill/>
                    <a:ln w="9525">
                      <a:noFill/>
                    </a:ln>
                  </pic:spPr>
                </pic:pic>
              </a:graphicData>
            </a:graphic>
          </wp:inline>
        </w:drawing>
      </w:r>
    </w:p>
    <w:p>
      <w:pPr>
        <w:spacing w:line="360" w:lineRule="auto"/>
        <w:ind w:firstLine="480"/>
        <w:jc w:val="center"/>
        <w:rPr>
          <w:rFonts w:ascii="宋体" w:hAnsi="宋体" w:eastAsia="宋体" w:cs="宋体"/>
          <w:sz w:val="24"/>
          <w:szCs w:val="24"/>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世界经济论坛于2018年1月23~26日在瑞士达沃斯举行，其中一场主题为“下一场金融危机”(Next financial crisis)的讨论会备受关注。各界认为，当前银行体系更为稳健，相比之下更需要担心的可能是资产价格高企所可能引发的风险，尤其是当通胀上升后各国央行可能会超预期加息，而刺破资产泡沫。</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海外各方人士始终担心的是中国的债务问题可能造成系统性金融风险，从而会对全球产生严重的溢出效应。就此，中国证监会副主席方星海表示，中国有能力抑制金融风险，持续近两年的去杠杆进程也已经取得进展，“如果有一些机构希望通过做空中国来牟利，那么可能行不通，因为中国系统的属性就决定了中国能够防止金融崩溃，因为监管层采取行动的速度很快。”</w:t>
      </w:r>
    </w:p>
    <w:p>
      <w:pPr>
        <w:spacing w:line="360" w:lineRule="auto"/>
        <w:ind w:firstLine="48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74340" cy="1692275"/>
            <wp:effectExtent l="0" t="0" r="16510" b="3175"/>
            <wp:docPr id="2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56"/>
                    <pic:cNvPicPr>
                      <a:picLocks noChangeAspect="1"/>
                    </pic:cNvPicPr>
                  </pic:nvPicPr>
                  <pic:blipFill>
                    <a:blip r:embed="rId23"/>
                    <a:stretch>
                      <a:fillRect/>
                    </a:stretch>
                  </pic:blipFill>
                  <pic:spPr>
                    <a:xfrm>
                      <a:off x="0" y="0"/>
                      <a:ext cx="2974340" cy="1692275"/>
                    </a:xfrm>
                    <a:prstGeom prst="rect">
                      <a:avLst/>
                    </a:prstGeom>
                    <a:noFill/>
                    <a:ln w="9525">
                      <a:noFill/>
                    </a:ln>
                  </pic:spPr>
                </pic:pic>
              </a:graphicData>
            </a:graphic>
          </wp:inline>
        </w:drawing>
      </w:r>
    </w:p>
    <w:p>
      <w:pPr>
        <w:spacing w:line="360" w:lineRule="auto"/>
        <w:ind w:firstLine="480"/>
        <w:jc w:val="left"/>
        <w:rPr>
          <w:rFonts w:ascii="宋体" w:hAnsi="宋体" w:eastAsia="宋体" w:cs="宋体"/>
          <w:sz w:val="24"/>
          <w:szCs w:val="24"/>
        </w:rPr>
      </w:pP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“我认为每一个危机都是与一些资产价格泡沫联系起来的，债务、股票都包括。因此现在需要关注的是，主要经济体是不是存在资产泡沫？如果有迹象，监管者就需要采取行动。”方星海称。</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目前一些股票估值处于历史最高水平：标普500指数在过去12个月的市盈率为25倍，而长期中枢为15倍；席勒周期性调整市盈率(CAPE)已经接近30倍，而历史中值为16倍，这个倍数过去只有在爆发金融危机的1929年和2000年才会被超越；“巴菲特指数”(美国股市总市值在GDP中的比重)现已创下历史新高；被称为“投资者恐慌指数”的VIX指数处于27年来的历史最低位。</w:t>
      </w: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去年很长一段时间，由于VIX始终维持低位，卖VIX成了一个常见的交易手段，但如此低的波动率令人担心；此外，每当出现政治风险，例如政府关门、英国脱欧等等，股市跌了之后，投资者又不断买入，将价格越推越高。”花旗集团CEO Michael Corbat在论坛期间表示。</w:t>
      </w:r>
    </w:p>
    <w:p>
      <w:pPr>
        <w:spacing w:line="360" w:lineRule="auto"/>
        <w:ind w:firstLine="480"/>
        <w:jc w:val="both"/>
        <w:rPr>
          <w:rFonts w:ascii="宋体" w:hAnsi="宋体" w:eastAsia="宋体" w:cs="宋体"/>
          <w:sz w:val="24"/>
          <w:szCs w:val="24"/>
        </w:rPr>
      </w:pPr>
      <w:r>
        <w:rPr>
          <w:rFonts w:ascii="宋体" w:hAnsi="宋体" w:eastAsia="宋体" w:cs="宋体"/>
          <w:sz w:val="24"/>
          <w:szCs w:val="24"/>
        </w:rPr>
        <w:drawing>
          <wp:inline distT="0" distB="0" distL="114300" distR="114300">
            <wp:extent cx="3388360" cy="2185670"/>
            <wp:effectExtent l="0" t="0" r="2540" b="5080"/>
            <wp:docPr id="2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56"/>
                    <pic:cNvPicPr>
                      <a:picLocks noChangeAspect="1"/>
                    </pic:cNvPicPr>
                  </pic:nvPicPr>
                  <pic:blipFill>
                    <a:blip r:embed="rId24"/>
                    <a:stretch>
                      <a:fillRect/>
                    </a:stretch>
                  </pic:blipFill>
                  <pic:spPr>
                    <a:xfrm>
                      <a:off x="0" y="0"/>
                      <a:ext cx="3388360" cy="2185670"/>
                    </a:xfrm>
                    <a:prstGeom prst="rect">
                      <a:avLst/>
                    </a:prstGeom>
                    <a:noFill/>
                    <a:ln w="9525">
                      <a:noFill/>
                    </a:ln>
                  </pic:spPr>
                </pic:pic>
              </a:graphicData>
            </a:graphic>
          </wp:inline>
        </w:drawing>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此前，全球最大公募基金Vanguard亚太区首席经济学家王黔也对记者表示， “我们估算美股未来十年的平均回报率只有4%，而过去30年美股的平均回报率是多少？高达10%。未来美股回报率的下调，很大一部分是来自于估值的压缩，即由于无风险利率上升(加息)带来的估值的压缩。”她也警示称，随着美国失业率创下历史新低，一旦这向薪资端不断传导，通胀的压力很可能会抬头，导致美联储更快速加息，这将对资本市场造成压力。</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说到资产泡沫，加密货币成了最新担忧。比特币的一年涨幅超过1000%，众多加密货币不断涌现且价格飞涨，这会否为未来的系统性金融风险埋下伏笔？此外，尚在萌发阶段的区块链技术似乎已经吹起了泡沫，近期全球区块链概念股暴涨，随后也在监管提示下被打回原形。</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“这(比特币)是仍需要去进一步验证的事情，因此不希望在中国太早进行广泛交易，所以中国此前关闭了比特币交易，对此我表示支持。”方星海称。</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方星海也表示，“如果有一些机构希望通过做空中国来牟利，那么可能行不通，因为中国系统的属性就决定了中国能够防止金融崩溃，因为监管层采取行动的速度很快。”</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我们做的事，还是跟美国金融危机学习的，”他称，“我们会很快抑制这些风险，确保恐慌情绪不会传播到整个体系。如果能够抑制风险、恐慌不蔓延，整个金融体系就会更稳健。央行会介入，大型健康的金融机构对中小机构伸出援手，整个体系仍然能够工作，中国会一直这么做。问题在于，一旦问题太大，可能很难处置，这就是为什么中国尽早采取行动来抑制金融系统风险，我们已经取得了进步。”</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此外，方星海表示，随着中国经济体量越来越大，不断扩大金融市场开放是一个必要的过程，中国也会持续推进这一进程。</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中宋" w:hAnsi="华文中宋" w:eastAsia="华文中宋" w:cs="华文中宋"/>
          <w:b/>
          <w:bCs/>
          <w:sz w:val="24"/>
          <w:szCs w:val="24"/>
          <w:lang w:val="en-US" w:eastAsia="zh-CN"/>
        </w:rPr>
      </w:pPr>
      <w:bookmarkStart w:id="15" w:name="互金早报：方星海称将加强管制比特币、保监会严查“灰犀牛”风险"/>
      <w:r>
        <w:rPr>
          <w:rFonts w:hint="eastAsia" w:ascii="华文中宋" w:hAnsi="华文中宋" w:eastAsia="华文中宋" w:cs="华文中宋"/>
          <w:b/>
          <w:bCs/>
          <w:sz w:val="24"/>
          <w:szCs w:val="24"/>
          <w:lang w:val="en-US" w:eastAsia="zh-CN"/>
        </w:rPr>
        <w:t>互金早报：方星海称将加强管制比特币、保监会严查“灰犀牛”风险</w:t>
      </w:r>
      <w:bookmarkEnd w:id="15"/>
    </w:p>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来源：蓝鲸财经记者工作平台</w:t>
      </w: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一、蚂蚁金服首家无人体验店开启无感支付 买完“抬脚就走”</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近日蚂蚁金服上线了首家无人体验店WithAnt，主要售卖蚂蚁金服周边衍生产品。根据官方介绍，无人体验店WithAnt将开放整套可拆解无人零售技术解决方案，改善新零售。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上市公司中，天喻信息(300205)与支付宝、腾讯在技术层面合作，旗下有多种形态产品支持无感支付。捷顺科技(002609)目前已推出捷停车“无感支付”，同时也正在积极推动与支付宝的合作开发。</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二、电网销违规 5家险企接连领保监会监管函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保监会重拳出击保险销售违规，继今年首张监管函“剑指”安盛天平财险电网销违规后，记者今日从保监会获悉，中美联泰大都会人寿、招商信诺人寿、光大永明人寿、华安财险和紫金财险被罚监管函的原因也是存在电话销售行为或网络销售行为不符合规定等问题。</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三、新华社：资本涌入区块链概念受追捧 风险不断积聚监管面临挑战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期，A股市场升起一股投资区块链热潮，暴风、迅雷等多家上市公司宣布进军区块链计划，引发“区块链概念股”集体上涨。在资本市场炒作区块链概念的同时，“庄家”的“手”也伸向了应用这一技术的各种虚拟货币。场外交易、到国外设立交易平台、变相ICO等成为主要的幕后推手。在专家看来，虚拟货币的快速发展给金融体系带来巨大危害：一方面，价格大幅涨跌带来的泡沫存在投资风险;另一方面，虚拟货币存在被用来进行非法交易的风险。专家建议，尽快建立国际统一的监管规则，避免监管漏洞和跨境套利。</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四、保监会严查“灰犀牛”风险 牌照申请大军将清理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23日，从多个信源获悉，肃清项俊波流毒工作开展以来，截止目前，涵盖保监会机关和保监局层面的十余人受到相应的处分。“从严监管”仍将是2018年的保险监管工作重点。据了解，针对监管内部规程不健全、存在操作风险的领域，保监会正在制定相应的实施细则，堵塞监管制度漏洞。此外，还将建立统一领导、分级负责、资源共享的保险监管数据治理架构。目前正在修订之中的《保险法》亦在加快推进之中。从有关渠道获悉，在从严监管之下，保监会对于保险业新进入者的总体思路是从严把关、分类处理。比如，对已经批准筹备的机构，将密切跟踪筹备情况，严把开业关;对正在申请的机构，则分门别类严格审查，明确申筹机构排序规则，探索建立“储备池”体系。对于已证实存在问题的申请机构，将予清退。(《财经》)</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五、更名夸海口 乐视金融要刚性兑付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则更名公告又一次使乐视金融站上了风口浪尖。1月18日，乐视金融官方宣布，即日起更名为乐为金融，启用新的品牌LOGO标识，并在更名公告中提到“刚性兑付”。分析人士表示，乐视金融此举是为了淡化过去乐视在品牌上的不利影响。事实上，乐视金融自去年以来一直处于“多事之秋”，不仅在核心牌照方面迟迟未有突破，还经历了换帅以及乐视控股危机的拖累，产品也屡受合规质疑。未来，乐视金融合规和发展压力不小。(北京商报)</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六、证监会副主席方星海：中国要对比特币加强管制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证监会副主席方星海在达沃斯论坛上表示，中国要对比特币加强管制。他认为，每一项的真实的机构产业真实价值对于经济真实意义，我们仍然需要去看。我们可以看到中国经济总量很大，对于中国来说比特币的交易是很重要的，需要加强管制，因为它现在交易非常频繁。你刚才谈到怎么样来看待金融危机?我想说的是，我们看到这么多情况的出现如果中国出现某种程度金融的崩溃，不管是货币的崩溃，如果有这样预测这是错的。</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七、刚进入首批备案申请名单就宣布清盘：两年兑付三亿 实控人曾就职于兴全基金和小牛资本</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据投资者爆料，1月23日，上海本地一家小型平台领投鸟宣布清盘，号称两年内完成兑付，但并未提前通知投资者，疑似暴雷。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领投鸟称其于2017年12月6日正式收到备案许可，正式进入备案周期。领投鸟的运营主体为上海吾悠互联网科技服务有限公司，由宁波坤鹏信息科技有限公司全资控股，背后实际控制人为章瑞瑞。领投鸟官网显示，章瑞瑞曾就职于兴业全球基金和小牛资本。</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八、京东金融推出“京银计划”，目前已牵手交行信用卡中心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1月22日，京东商城、京东金融、交通银行信用卡中心在沪举行京东年货节与交行信用卡合作启动仪式，交通银行信用卡中心成为2018年京东年货节的指定合作银行。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了解，交通银行此次将成为京东金融“京银计划”的首个合作伙伴，“京银计划”为京东金融与银行联手打造无界营销模式，通过京东支付将京东核心大促资源向银行业合作伙伴开放，整合整个京东的无界零售优势资源，将京东内部的商城、金融、物流、线上线下等大生态打通，实现京东与银行的无界营销、跨界互动和用户分享。</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九、光大银行上线新版手机银行 新增二维码取款功能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1月23日，光大银行发布新版手机银行，引入、应用生物识别技术，新增定制资讯，并对各项业务流程进行了全面优化。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据光大银行副行长李杰介绍，本次新版手机银行在六大模块上实现升级，打造出以新版手机银行为核心，以阳光银行、微信银行、电话银行、瑶瑶缴费、移动支付等服务渠道为组成部分的移动金融服务矩阵。</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另外，光大银行新版手机银行采用Fido生物识别安全技术，用户可以通过面部识别和指纹识别登录。转账、缴费、充值三个功能也都支持面部及指纹识别。</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16" w:name="方星海：监管的快速行动决定了中国能够防止金融奔溃"/>
      <w:r>
        <w:rPr>
          <w:rFonts w:hint="eastAsia" w:ascii="华文中宋" w:hAnsi="华文中宋" w:eastAsia="华文中宋" w:cs="华文中宋"/>
          <w:b/>
          <w:bCs/>
          <w:sz w:val="24"/>
          <w:szCs w:val="24"/>
          <w:lang w:val="en-US" w:eastAsia="zh-CN"/>
        </w:rPr>
        <w:t>方星海：监管的快速行动决定了中国能够防止金融奔溃</w:t>
      </w:r>
    </w:p>
    <w:bookmarkEnd w:id="16"/>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日期：2018年1月23日 来源：腾讯财经</w:t>
      </w:r>
    </w:p>
    <w:p>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843530" cy="2133600"/>
            <wp:effectExtent l="0" t="0" r="13970" b="0"/>
            <wp:docPr id="2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56"/>
                    <pic:cNvPicPr>
                      <a:picLocks noChangeAspect="1"/>
                    </pic:cNvPicPr>
                  </pic:nvPicPr>
                  <pic:blipFill>
                    <a:blip r:embed="rId25"/>
                    <a:stretch>
                      <a:fillRect/>
                    </a:stretch>
                  </pic:blipFill>
                  <pic:spPr>
                    <a:xfrm>
                      <a:off x="0" y="0"/>
                      <a:ext cx="2843530" cy="2133600"/>
                    </a:xfrm>
                    <a:prstGeom prst="rect">
                      <a:avLst/>
                    </a:prstGeom>
                    <a:noFill/>
                    <a:ln w="9525">
                      <a:noFill/>
                    </a:ln>
                  </pic:spPr>
                </pic:pic>
              </a:graphicData>
            </a:graphic>
          </wp:inline>
        </w:drawing>
      </w:r>
    </w:p>
    <w:p>
      <w:pPr>
        <w:spacing w:line="360" w:lineRule="auto"/>
        <w:jc w:val="left"/>
        <w:rPr>
          <w:rFonts w:hint="eastAsia" w:ascii="华文楷体" w:hAnsi="华文楷体" w:eastAsia="华文楷体" w:cs="华文楷体"/>
          <w:sz w:val="24"/>
          <w:szCs w:val="24"/>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1月23日，第48届世界经济论坛年会的第一天，在《下一场金融危机？》的主题讨论上，中国的债务问题成为外界关注的焦点。对此，中国证券监督管理委员会副主席方星海回应称，中国早在几年之前就已经意识到债务率这一重要问题，并为此采取行动。</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“我们的确在多年前就发现中国的宏观债务率、非金融部门的企业负债率很高，后者与GDP的比重高达250%。”方星海称，为此，中国在两年前就开始采取行动。</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他用一系列数据来证明中国降债务的力度：中国的债务率在2017年第四季度首次停止上升，截至2017年12月末，广义货币（M2）同比增长8.2%，增速再创历史新低，比名义GDP的增长率还低2%。</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作为小组讨论中唯一的监管者代表，方星海还提到，假如出现小规模的金融恐慌，中国政府会尽早采取措施，确保不会波及至整个金融体系。“如果有一些机构希望通过做空中国来牟利，那很可能行不通，因为中国的监管层行动速度很快，其属性决定了中国能够防止金融奔溃。”</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区块链、比特币等全球热门话题也成为本次世界经济论坛年会的议题。在谈及比特币时方星海提到，在中国由中央银行来应对各种货币发行，其中一个重要的评判标准是每一项产业对于经济的真实价值如何。“对于中国来说，比特币的交易是一件需要加强监管的事情，因为现在的交易非常频繁。”</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中国频频提到的金融业对外开放，也成为近期世界关注中国的一个焦点。方星海称，随着中国经济体量越来越大，不断扩大金融市场开放是一个必要的过程，中国也将持续推进这一进程。</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7" w:name="方星海中国要对比特币加强管制因其交易太频繁"/>
      <w:r>
        <w:rPr>
          <w:rFonts w:hint="eastAsia" w:ascii="华文中宋" w:hAnsi="华文中宋" w:eastAsia="华文中宋" w:cs="华文中宋"/>
          <w:b/>
          <w:bCs/>
          <w:sz w:val="24"/>
          <w:szCs w:val="24"/>
          <w:lang w:val="en-US" w:eastAsia="zh-CN"/>
        </w:rPr>
        <w:t>方星海:中国要对比特币加强管制 因其交易太频繁</w:t>
      </w:r>
    </w:p>
    <w:bookmarkEnd w:id="17"/>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日期：2018年1月23日 来源：千寻生活</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292475" cy="1883410"/>
            <wp:effectExtent l="0" t="0" r="3175" b="2540"/>
            <wp:docPr id="2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56"/>
                    <pic:cNvPicPr>
                      <a:picLocks noChangeAspect="1"/>
                    </pic:cNvPicPr>
                  </pic:nvPicPr>
                  <pic:blipFill>
                    <a:blip r:embed="rId26"/>
                    <a:stretch>
                      <a:fillRect/>
                    </a:stretch>
                  </pic:blipFill>
                  <pic:spPr>
                    <a:xfrm>
                      <a:off x="0" y="0"/>
                      <a:ext cx="3292475" cy="1883410"/>
                    </a:xfrm>
                    <a:prstGeom prst="rect">
                      <a:avLst/>
                    </a:prstGeom>
                    <a:noFill/>
                    <a:ln w="9525">
                      <a:noFill/>
                    </a:ln>
                  </pic:spPr>
                </pic:pic>
              </a:graphicData>
            </a:graphic>
          </wp:inline>
        </w:drawing>
      </w:r>
    </w:p>
    <w:p>
      <w:pPr>
        <w:spacing w:line="360" w:lineRule="auto"/>
        <w:ind w:firstLine="420" w:firstLineChars="200"/>
        <w:jc w:val="center"/>
        <w:rPr>
          <w:rFonts w:hint="eastAsia" w:ascii="华文楷体" w:hAnsi="华文楷体" w:eastAsia="华文楷体" w:cs="华文楷体"/>
          <w:b w:val="0"/>
          <w:i w:val="0"/>
          <w:caps w:val="0"/>
          <w:color w:val="444444"/>
          <w:spacing w:val="0"/>
          <w:sz w:val="21"/>
          <w:szCs w:val="21"/>
          <w:shd w:val="clear" w:fill="FFFFFF"/>
        </w:rPr>
      </w:pPr>
      <w:r>
        <w:rPr>
          <w:rFonts w:hint="eastAsia" w:ascii="华文楷体" w:hAnsi="华文楷体" w:eastAsia="华文楷体" w:cs="华文楷体"/>
          <w:b w:val="0"/>
          <w:i w:val="0"/>
          <w:caps w:val="0"/>
          <w:color w:val="444444"/>
          <w:spacing w:val="0"/>
          <w:sz w:val="21"/>
          <w:szCs w:val="21"/>
          <w:shd w:val="clear" w:fill="FFFFFF"/>
        </w:rPr>
        <w:t>证监会副主席方星海在达沃斯论坛上发言</w:t>
      </w:r>
    </w:p>
    <w:p>
      <w:pPr>
        <w:spacing w:line="360" w:lineRule="auto"/>
        <w:ind w:firstLine="420" w:firstLineChars="200"/>
        <w:jc w:val="center"/>
        <w:rPr>
          <w:rFonts w:hint="eastAsia" w:ascii="华文楷体" w:hAnsi="华文楷体" w:eastAsia="华文楷体" w:cs="华文楷体"/>
          <w:b w:val="0"/>
          <w:i w:val="0"/>
          <w:caps w:val="0"/>
          <w:color w:val="444444"/>
          <w:spacing w:val="0"/>
          <w:sz w:val="21"/>
          <w:szCs w:val="21"/>
          <w:shd w:val="clear" w:fill="FFFFFF"/>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凤凰网财经讯 2018年冬季达沃斯于1月23日正式开幕，证监会副主席方星海在达沃斯论坛上表示，几年前中国已经意识到了一个重要问题主要在于很多债务，从宏观角度来看债务负债率，看金融部门的负债率与GDP的比率，看到有债务问题，所以两年前就开始采取行动了。</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 xml:space="preserve"> </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 xml:space="preserve">关于比特币，方星海指出，在中国是由中央银行来应对各种硬币货币发行，所以你知道中央银行是管这些的。对我来说很重要的事，就是每一项机构产业真实的价值对经济的真实意义，我们仍然需要去看，我们可以看到中国经济总量很大，我们现在频繁的交易，所以我们现在对于中国来说，比特币的交易，比特币交易是一个需要加强管制的事情，因为现在交易的非常频繁。 </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 xml:space="preserve">方星海表示，我在这里可能是唯一的一个重量级的管制者，所以管理者要永远保持警觉，我们不能骄傲自满，谈到金融风险，我觉得每一个危机似乎总是与某种类型的资产泡沫相联系，这是一个回答，这是一个信号。我们要看一看有没有资产泡沫，有没有金融方面的泡沫?如果有正在出现的资产泡沫，我们就必须要做一些事情进行管制，这就是我所做的陈述。 </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方星海称，虽然看起来中国经济规模如此巨大，所以如果中国经济出现坏的情况，所有世界经济都会受到影响。我们意识到，我们是有一些问题的。几年前我们意识到了问题主要在于是因为我们有很多债务，从宏观角度来看债务负债率，看金融部门的负债率与GDP的比率，看到我们有债务问题，所以我们两年前就开始采取行动了。</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jc w:val="both"/>
        <w:rPr>
          <w:rFonts w:hint="eastAsia" w:ascii="华文中宋" w:hAnsi="华文中宋" w:eastAsia="华文中宋" w:cs="华文中宋"/>
          <w:b/>
          <w:bCs/>
          <w:i w:val="0"/>
          <w:caps w:val="0"/>
          <w:color w:val="auto"/>
          <w:spacing w:val="0"/>
          <w:sz w:val="24"/>
          <w:szCs w:val="24"/>
          <w:shd w:val="clear" w:fill="FFFFFF"/>
          <w:lang w:val="en-US" w:eastAsia="zh-CN"/>
        </w:rPr>
      </w:pPr>
    </w:p>
    <w:p>
      <w:pPr>
        <w:spacing w:line="360" w:lineRule="auto"/>
        <w:ind w:firstLine="480" w:firstLineChars="200"/>
        <w:jc w:val="center"/>
        <w:rPr>
          <w:rFonts w:hint="eastAsia" w:ascii="华文中宋" w:hAnsi="华文中宋" w:eastAsia="华文中宋" w:cs="华文中宋"/>
          <w:b/>
          <w:bCs/>
          <w:i w:val="0"/>
          <w:caps w:val="0"/>
          <w:color w:val="auto"/>
          <w:spacing w:val="0"/>
          <w:sz w:val="24"/>
          <w:szCs w:val="24"/>
          <w:shd w:val="clear" w:fill="FFFFFF"/>
          <w:lang w:val="en-US" w:eastAsia="zh-CN"/>
        </w:rPr>
      </w:pPr>
      <w:bookmarkStart w:id="18" w:name="中国证监会党委传达学习十九届二中全会精神"/>
      <w:r>
        <w:rPr>
          <w:rFonts w:hint="eastAsia" w:ascii="华文中宋" w:hAnsi="华文中宋" w:eastAsia="华文中宋" w:cs="华文中宋"/>
          <w:b/>
          <w:bCs/>
          <w:i w:val="0"/>
          <w:caps w:val="0"/>
          <w:color w:val="auto"/>
          <w:spacing w:val="0"/>
          <w:sz w:val="24"/>
          <w:szCs w:val="24"/>
          <w:shd w:val="clear" w:fill="FFFFFF"/>
          <w:lang w:val="en-US" w:eastAsia="zh-CN"/>
        </w:rPr>
        <w:t>中国证监会党委传达学习十九届二中全会精神</w:t>
      </w:r>
    </w:p>
    <w:bookmarkEnd w:id="18"/>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日期：2018年1月21日 来源：中国证监会</w:t>
      </w: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1月21日下午，中国证监会党委书记、主席刘士余主持召开党委会议，传达学习党的十九届二中全会精神。</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党委同志完全拥护习近平总书记在党的十九届二中全会上的重要讲话和全会审议通过的《中共中央关于修改宪法部分内容的建议》（以下简称《建议》）。宪法是国家的根本法，是治国安邦的总章程，是党和人民意志的集中体现。党委同志一致认为二中全会通过的《建议》是党中央从新时代坚持和发展中国特色社会主义全局和战略高度作出的重大决策，充分体现了以习近平同志为核心的党中央对依宪治国、依法治国、依法执政、依法行政的高度重视，是把党和人民在推进中国特色社会主义伟大事业的实践中取得的重大理论创新、实践创新、制度创新成果上升为宪法规定的重大安排，是全面贯彻落实党的十九大战略部署和推进全面依法治国、推进国家治理体系和治理能力现代化的根本法治保障。</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党委同志认为，宪法修改是国家政治生活中的一件大事。实践充分证明，我国现行宪法是一部好宪法，具有显著优势、坚实基础、强大生命力，必须坚决维护、长期坚持、全面贯彻。证监会党委在深入学习贯彻党的十九大精神过程中，深切感受到全系统广大干部职工以及资本市场的广大参与者都期盼根据新时代新形势新任务，对我国宪法作出适当的修改。由宪法及时确认党和人民创造的伟大成就和宝贵经验，有利于全党全民维护以习近平同志为核心的党中央权威和集中统一领导，有利于更好发挥宪法对党和国家政治生活及各项事业的规范、引领、推动、保障作用，实现国家的长治久安。所以，二中全会通过的《建议》是党心所向、民心所向。 把党的十九大确定的重大理论观点和重大方针政策特别是习近平新时代中国特色社会主义思想载入国家根本法，对于统一和凝聚全党全国各族人民的思想认识，在党的领导下为实现中华民族伟大复兴的中国梦而奋斗，具有重要现实意义和深远历史意义。</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会议要求，证监会系统各级党组织要深入学习贯彻党的十九大十九届一中、二中全会精神，更加紧密地团结在以习近平同志为核心的党中央周围，始终在思想上政治上行动上同以习近平同志为核心的党中央保持高度一致，以习近平新时代中国特色社会主义思想为指导，牢固树立“四个意识”、坚定“四个自信”，坚定不移走中国特色社会主义法治道路。证监会党委要带头尊崇宪法、学习宪法、遵守宪法、维护宪法、运用宪法，持续弘扬宪法和法治精神，牢固树立法治观念和法治意识，自觉把监管资本市场的各项工作纳入法治轨道，提高依法全面从严监管水平，发挥好资本市场服务实体经济的功能，保护好广大投资者的合法权益。</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证监会党委成员及驻会纪检组负责人参加了会议。</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center"/>
        <w:rPr>
          <w:rFonts w:hint="eastAsia" w:ascii="华文楷体" w:hAnsi="华文楷体" w:eastAsia="华文楷体" w:cs="华文楷体"/>
          <w:b w:val="0"/>
          <w:i w:val="0"/>
          <w:caps w:val="0"/>
          <w:color w:val="auto"/>
          <w:spacing w:val="0"/>
          <w:sz w:val="24"/>
          <w:szCs w:val="24"/>
          <w:shd w:val="clear" w:fill="FFFFFF"/>
          <w:lang w:val="en-US" w:eastAsia="zh-CN"/>
        </w:rPr>
      </w:pPr>
      <w:bookmarkStart w:id="19" w:name="证监会通报2017年专项执法行动工作进展"/>
      <w:r>
        <w:rPr>
          <w:rFonts w:hint="eastAsia" w:ascii="华文中宋" w:hAnsi="华文中宋" w:eastAsia="华文中宋" w:cs="华文中宋"/>
          <w:b/>
          <w:bCs/>
          <w:i w:val="0"/>
          <w:caps w:val="0"/>
          <w:color w:val="auto"/>
          <w:spacing w:val="0"/>
          <w:sz w:val="24"/>
          <w:szCs w:val="24"/>
          <w:shd w:val="clear" w:fill="FFFFFF"/>
          <w:lang w:val="en-US" w:eastAsia="zh-CN"/>
        </w:rPr>
        <w:t>证监会通报2017年专项执法行动工作进展</w:t>
      </w:r>
    </w:p>
    <w:bookmarkEnd w:id="19"/>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为持续深化依法全面从严监管，按照稳中求进的工作总基调，2017年证监会稽查部门在常态化执法的基础上，紧紧围绕服务实体经济、防范风险、整治市场乱象的工作要求，连续部署了四个批次的专项执法行动，着力整顿市场秩序，相关工作取得积极进展。</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2017年四个批次专项执法行动涉及54起典型案件，直指财务造假、炒作次新股、利用高送转等违规交易以及私募领域违法违规等四大市场乱象。第一批专项行动我会部署共10起信息披露违法违规案件，重点打击雅百特跨境造假、山东墨龙业绩变脸、佳电股份调节利润等性质恶劣、严重侵害投资者权益的违法行为。目前，调查工作已全部完成，1起案件已经移送公安机关，3起案件已经行政处罚，4起案件进入行政处罚审理程序。4月14日，第二批专项行动共部署16起操纵市场案件，重点遏制次新股炒作、快进快出手法操纵市场、滥用信息优势合谋操纵市场等恶行蔓延。目前，14起案件已完成现场调查，9起案件进入行政处罚审理程序，2起案件已经做出行政处罚事先告知。7月7日，第三批专项行动共部署18起内幕交易案件，重点整治并购重组、高送转、股权变更等环节内幕交易多发问题，着力祛除“靠消息炒股”的市场顽疾。目前，15起案件已经进入行政处罚审理程序，2起案件已经移送公安机关。第四批专项行动共部署10起私募基金领域违法违规案件，对私募机构管理失范以及多种违法乱象开展专项整治。目前，3起案件已完成调查，1起案件进入行政处罚审理程序，其他案件调查工作正在全面推进当中。</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2017年专项执法行动专门针对资本市场各个领域肆意妄为、祸害市场、影响恶劣的严重违法行为。一是集中整治侵蚀市场运行基础的上市公司领域违法违规。上市公司跨境财务造假、多年连续造假、人为调节利润等欺诈手法呈多样化特征，专项行动查处的3家上市公司造假金额在2亿元以上，3家上市公司实际控制人涉嫌滥用信息披露制度操纵股价，背信损害上市公司利益、高杠杆收购违规披露、业绩变脸前高管精准减持等市场高度关注案件得以快速查办。二是坚决打击可能积聚市场风险的恶性操纵行为。专项行动涉及的操纵市场案件中，利用结构化资管产品、成批次证券账户放大资金规模、隐藏真实身份和违法意图的案件占70%。9起案件的涉案金额超过20亿元。三是严厉查处影响市场改革发展的典型案件和市场关注的热点案件。有的新三板挂牌企业实际控制人操纵本公司股票价格，意图达到创新层准入标准。个别机构利用沪港通账户与境内账户相互配合跨境操纵。高送转、举牌收购、大股东减持等热点事件中频现内幕交易，涉案金额高达10亿元，多层多向多级传递型案件占比达67%。四是重点净化特定领域违法多发的不良市场生态。部分私募机构同时存在违规募集、利益输送、挪用基金财产、不按规定备案等违规行为，甚至与上市公司内外勾结操纵市场。专项行动开展期间，稽查部门在办案过程中新发现310余账户涉嫌内幕交易、操纵市场，4家证券服务机构涉嫌未勤勉尽责，部分案件还存在持股变动信息不及时披露、短线交易等违法行为，稽查部门一并严肃追责。</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一年来，证监会立足提高执法效能，多措并举，全链条保障专项执法工作顺利推进。一是强化市场监控。围绕重点领域、关键环节和异常交易行为，优化线索报送机制，定向定制类案线索，依托大数据筛查和智能化分析提升线索处理水平。二是突出“集团作战”的专案组织模式，重点案件全流程督导，通过集中骨干力量、联合办案等方式推动案件快速突破。专项行动案件调查周期平均65天。三是加强协作凝聚合力。调查、审理部门对疑难案件会商研判，快查严审，目前32起案件已进入行政处罚审理程序，7起案件已陆续处罚事先告知、作出处罚决定。与公安机关协作办案并移送刑事追责5起，强化与国资管理、审计监督、金融监管部门的协作配合，交换执法信息，形成执法合力。四是及时传导监管信号。持续通报专项行动的批次部署、进展情况，有效震慑证券期货违法犯罪，引导市场各方守法合规。</w:t>
      </w: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2018年，证监会稽查部门将围绕贯彻落实十九大精神的主线，按照中央经济工作会议、全国金融工作会议的总体要求，坚持常态执法和集中打击相结合的原则，将专项执法行动作为打好资本市场风险防范攻坚战的重要举措，继续加大对证券期货违法违规行为的惩治力度，切实维护国家金融安全，促进多层次资本市场健康发展，更好服务实体经济。</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center"/>
        <w:rPr>
          <w:rFonts w:hint="eastAsia" w:ascii="华文楷体" w:hAnsi="华文楷体" w:eastAsia="华文楷体" w:cs="华文楷体"/>
          <w:b w:val="0"/>
          <w:i w:val="0"/>
          <w:caps w:val="0"/>
          <w:color w:val="auto"/>
          <w:spacing w:val="0"/>
          <w:sz w:val="24"/>
          <w:szCs w:val="24"/>
          <w:shd w:val="clear" w:fill="FFFFFF"/>
          <w:lang w:val="en-US" w:eastAsia="zh-CN"/>
        </w:rPr>
      </w:pPr>
      <w:bookmarkStart w:id="20" w:name="证监会对5宗案件作出行政处罚"/>
      <w:r>
        <w:rPr>
          <w:rFonts w:hint="eastAsia" w:ascii="华文中宋" w:hAnsi="华文中宋" w:eastAsia="华文中宋" w:cs="华文中宋"/>
          <w:b/>
          <w:bCs/>
          <w:i w:val="0"/>
          <w:caps w:val="0"/>
          <w:color w:val="auto"/>
          <w:spacing w:val="0"/>
          <w:sz w:val="24"/>
          <w:szCs w:val="24"/>
          <w:shd w:val="clear" w:fill="FFFFFF"/>
          <w:lang w:val="en-US" w:eastAsia="zh-CN"/>
        </w:rPr>
        <w:t>证监会对5宗案件作出行政处罚</w:t>
      </w:r>
    </w:p>
    <w:bookmarkEnd w:id="20"/>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近日，证监会依法对5宗案件作出行政处罚，其中包括：1宗信息披露违法违规案，1宗内幕交易案，1宗限制期内交易股票案，2宗证券从业人员违法买卖股票案。</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1宗信息披露违法违规案中，江苏华宏医药股份有限公司（简称华宏医药）未及时披露其与关联方江阴盛江投资有限公司于2015年1月至12月期间发生的多笔关联资金交易事项，已披露的2015年半年报关于资金往来金额及资金用途的披露不准确、不完整，2015年年报关于资金用途的披露不完整。华宏医药的上述行为违反了《非上市公众公司监管指引第1号--信息披露》的披露要求以及《非上市公众公司监督管理办法》第20条规定，依据《非上市公众公司监督管理办法》第60条和《证券法》第193条规定，江苏证监局决定对华宏医药给予警告，并处以30万元罚款；对直接负责的主管人员盛龙才给予警告，并处以5万元罚款；对其他直接责任人员况清娟给予警告，并处以3万元罚款。</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1宗限制期内交易股票案中，2015年11月4日至11月13日期间，广东新价值投资有限公司（简称广东新价值）通过4只私募产品和14只信托计划陆续增持“科恒股份”、“大东海A”等4只股票，在持有相关股票累计达到上市公司已发行股份的5%时，未在履行报告和公告义务前停止买入行为，违法增持金额合计约3,766万元。广东新价值的上述行为违反了《证券法》第38条规定，依据《证券法》第204条规定，广东证监局决定责令广东新价值改正，给予警告，并处以190万元罚款；对直接负责的主管人员钱文彦给予警告，并处以10万元罚款；对其他直接责任人员卢冬妮给予警告，并处以5万元罚款。</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1宗内幕交易案中，秦某系北京高盟新材料股份有限公司（简称高盟新材）拟发行股份及支付现金购买武汉华森塑胶有限公司100%股权并募集配套资金事项这一内幕信息的知情人。曾祥颖与秦某关系密切，在内幕信息敏感期内，曾祥颖与秦某存在通讯联络，后曾祥颖控制使用其本人及其配偶的证券账户买入“高盟新材”125,700股，共计获利约13.8万元。曾祥颖的上述行为违反了《证券法》第73条、第76条规定，依据《证券法》第202条规定，北京证监局决定没收曾祥颖违法所得约13.8万元，并处以约41.5万元罚款。</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2宗证券从业人员违法买卖股票案中，一是杨泰华于2013年1月18日至2016年9月12日期间在太平洋证券股份有限公司腾冲光华东路证券营业部任总经理，为证券从业人员。在上述期间内，杨泰华控制使用“尹某芝”证券账户进行证券交易，累计买入股票成交金额约3亿元，已卖出股票获利约1,433万元。杨泰华的上述行为违反了《证券法》第43条规定，依据《证券法》第199条规定，上海证监局决定责令杨泰华依法处理非法持有的剩余股票，没收已获违法所得约1,433万元，并处以约4,301万元罚款。二是陆茜于2010年3月至调查期间先后在中国国际金融股份有限公司建国门外大街营业部、北京科学院南路营业部任职，为证券从业人员。在上述期间内，陆茜控制使用“林某勤”证券账户进行证券交易，没有违法所得。陆茜的上述行为违反了《证券法》第43条规定，依据《证券法》第199条规定，我会决定责令陆茜依法处理非法持有的股票，并处以40万元罚款。</w:t>
      </w: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p>
    <w:p>
      <w:pPr>
        <w:spacing w:line="360" w:lineRule="auto"/>
        <w:ind w:firstLine="480" w:firstLineChars="200"/>
        <w:jc w:val="left"/>
        <w:rPr>
          <w:rFonts w:hint="eastAsia" w:ascii="华文楷体" w:hAnsi="华文楷体" w:eastAsia="华文楷体" w:cs="华文楷体"/>
          <w:b w:val="0"/>
          <w:i w:val="0"/>
          <w:caps w:val="0"/>
          <w:color w:val="auto"/>
          <w:spacing w:val="0"/>
          <w:sz w:val="24"/>
          <w:szCs w:val="24"/>
          <w:shd w:val="clear" w:fill="FFFFFF"/>
          <w:lang w:val="en-US" w:eastAsia="zh-CN"/>
        </w:rPr>
      </w:pPr>
      <w:r>
        <w:rPr>
          <w:rFonts w:hint="eastAsia" w:ascii="华文楷体" w:hAnsi="华文楷体" w:eastAsia="华文楷体" w:cs="华文楷体"/>
          <w:b w:val="0"/>
          <w:i w:val="0"/>
          <w:caps w:val="0"/>
          <w:color w:val="auto"/>
          <w:spacing w:val="0"/>
          <w:sz w:val="24"/>
          <w:szCs w:val="24"/>
          <w:shd w:val="clear" w:fill="FFFFFF"/>
          <w:lang w:val="en-US" w:eastAsia="zh-CN"/>
        </w:rPr>
        <w:t>上述行为违反了证券期货法律法规，破坏了市场秩序，必须坚决予以打击。我会将持续对各类违法违规行为保持高压态势，切实担当好依法全面从严打击证券期货违法活动、维护市场健康稳定发展、执行国家法律的神圣使命。</w:t>
      </w: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200" w:lineRule="exact"/>
        <w:jc w:val="both"/>
        <w:rPr>
          <w:rFonts w:ascii="Times New Roman" w:hAnsi="Times New Roman" w:eastAsia="Times New Roman"/>
        </w:rPr>
      </w:pPr>
    </w:p>
    <w:p>
      <w:pPr>
        <w:spacing w:line="360" w:lineRule="auto"/>
        <w:jc w:val="center"/>
        <w:rPr>
          <w:rFonts w:hint="eastAsia" w:ascii="华文中宋" w:hAnsi="华文中宋" w:eastAsia="华文中宋" w:cs="华文中宋"/>
          <w:b/>
          <w:bCs/>
        </w:rPr>
      </w:pPr>
      <w:bookmarkStart w:id="21" w:name="证监会严厉处罚一起编造传播虚假信息行为"/>
      <w:r>
        <w:rPr>
          <w:rFonts w:hint="eastAsia" w:ascii="华文中宋" w:hAnsi="华文中宋" w:eastAsia="华文中宋" w:cs="华文中宋"/>
          <w:b/>
          <w:bCs/>
        </w:rPr>
        <w:t>证监会严厉处罚一起编造传播虚假信息行为</w:t>
      </w:r>
    </w:p>
    <w:bookmarkEnd w:id="21"/>
    <w:p>
      <w:pPr>
        <w:spacing w:line="200" w:lineRule="exact"/>
        <w:rPr>
          <w:rFonts w:hint="eastAsia" w:ascii="Times New Roman" w:hAnsi="Times New Roman" w:eastAsia="Times New Roman"/>
        </w:rPr>
      </w:pPr>
    </w:p>
    <w:p>
      <w:pPr>
        <w:spacing w:line="200" w:lineRule="exact"/>
        <w:rPr>
          <w:rFonts w:ascii="Times New Roman" w:hAnsi="Times New Roman" w:eastAsia="Times New Roman"/>
        </w:rPr>
      </w:pP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both"/>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firstLineChars="200"/>
        <w:jc w:val="both"/>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日前，证监会依法对曹磊编造传播虚假信息行为作出行政处罚，责令其改正，并处以20万元的顶格罚款。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firstLineChars="200"/>
        <w:jc w:val="both"/>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jc w:val="both"/>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曹磊为某知名网站传媒从业人员，其本人注册运营“山石观市”微信公众号。2017年11月20日，曹磊收到其微信好友发来的《2018年金融机构会议纪要.PDF》文档，之后撰写了标题为《金融机构和房企在证监会开闭门会》文章，于当日通过“山石观市”微信公众号发布，编造传播了金融机构和房企在证监会开闭门会的虚假信息，经由网络广泛散播。实际上，上述会议纪要所指会议为中国指数研究院邀请相关金融机构及房地产企业召开的常规会议，已连续举办七期，会议组织与证监会无关，并非在证监会召开或由证监会组织召开的会议。曹磊编造传播虚假信息的行为产生了严重的社会影响和市场影响，扰乱证券市场，我会依法对其实施行政处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jc w:val="both"/>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jc w:val="both"/>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资本市场是基于信息定价的市场，信息传播的真实、准确、完整是市场健康、稳定、有效运行的重要基础，信息传播秩序也是市场秩序的重要内容。近年来，证监会严厉查处了多起编造传播虚假信息的典型案件，资本市场造谣传谣多发的情况得到有效整肃，市场舆论环境得到进一步净化。曹磊作为传播媒介从业人员，运营拥有众多用户的微信公众号，本应严守法律底线，恪守行业规则和职业道德，承担应尽的社会责任，向网络受众提供真实信息，但其漠视法律，编造传播虚假信息，误导社会公众，依法应予严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jc w:val="both"/>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both"/>
        <w:rPr>
          <w:rFonts w:hint="eastAsia" w:ascii="华文楷体" w:hAnsi="华文楷体" w:eastAsia="华文楷体" w:cs="华文楷体"/>
          <w:sz w:val="24"/>
          <w:szCs w:val="24"/>
        </w:rPr>
      </w:pPr>
      <w:r>
        <w:rPr>
          <w:rFonts w:hint="eastAsia" w:ascii="华文楷体" w:hAnsi="华文楷体" w:eastAsia="华文楷体" w:cs="华文楷体"/>
          <w:color w:val="333333"/>
          <w:sz w:val="24"/>
          <w:szCs w:val="24"/>
          <w:bdr w:val="none" w:color="auto" w:sz="0" w:space="0"/>
          <w:shd w:val="clear" w:fill="FFFFFF"/>
        </w:rPr>
        <w:t>　　随着互联网信息技术的发展，微博、微信等新媒体网络工具已成为资本市场中信息发布、传播的重要渠道，为市场效率的提升做出了积极贡献。与此同时，也有个别主体基于所谓“流量经济”的考虑，为追求“头条效应”，利用新媒体的传播便利制造热点，博取眼球，甚至不惜突破法律红线，造谣生事，搬弄是非，欺诈愚弄网络受众，败坏行业风气，污染舆论环境。证监会提醒市场参与者，新媒体不是法外之地，要对法律底线心存敬畏，任何编造传播虚假信息行为必将受到法律严惩，网络受众也要擦亮双眼，提高信息辨识能力，不信谣不传谣，共同营造有利于资本市场健康发展的守法、诚信、健康、干净的网络环境。</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right"/>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jc w:val="center"/>
        <w:rPr>
          <w:rFonts w:hint="eastAsia" w:ascii="华文楷体" w:hAnsi="华文楷体" w:eastAsia="华文楷体" w:cs="华文楷体"/>
          <w:b w:val="0"/>
          <w:i w:val="0"/>
          <w:caps w:val="0"/>
          <w:color w:val="auto"/>
          <w:spacing w:val="0"/>
          <w:sz w:val="21"/>
          <w:szCs w:val="21"/>
          <w:shd w:val="clear" w:fill="FFFFFF"/>
          <w:lang w:val="en-US" w:eastAsia="zh-CN"/>
        </w:rPr>
      </w:pPr>
      <w:bookmarkStart w:id="22" w:name="证监会2017年稽查执法工作情况通报"/>
      <w:r>
        <w:rPr>
          <w:rFonts w:hint="eastAsia" w:ascii="华文中宋" w:hAnsi="华文中宋" w:eastAsia="华文中宋" w:cs="华文中宋"/>
          <w:b/>
          <w:bCs/>
          <w:i w:val="0"/>
          <w:caps w:val="0"/>
          <w:color w:val="auto"/>
          <w:spacing w:val="0"/>
          <w:sz w:val="24"/>
          <w:szCs w:val="24"/>
          <w:shd w:val="clear" w:fill="FFFFFF"/>
          <w:lang w:val="en-US" w:eastAsia="zh-CN"/>
        </w:rPr>
        <w:t>证监会2017年稽查执法工作情况通报</w:t>
      </w:r>
    </w:p>
    <w:bookmarkEnd w:id="22"/>
    <w:p>
      <w:pPr>
        <w:spacing w:line="360" w:lineRule="auto"/>
        <w:jc w:val="both"/>
        <w:rPr>
          <w:rFonts w:hint="eastAsia" w:ascii="华文楷体" w:hAnsi="华文楷体" w:eastAsia="华文楷体" w:cs="华文楷体"/>
          <w:b w:val="0"/>
          <w:i w:val="0"/>
          <w:caps w:val="0"/>
          <w:color w:val="auto"/>
          <w:spacing w:val="0"/>
          <w:sz w:val="21"/>
          <w:szCs w:val="21"/>
          <w:shd w:val="clear" w:fill="FFFFFF"/>
          <w:lang w:val="en-US" w:eastAsia="zh-CN"/>
        </w:rPr>
      </w:pP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firstLineChars="200"/>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2017年，证监会深入学习贯彻党的十九大精神和全国金融工作会议精神，自觉用习近平新时代中国特色社会主义思想武装头脑、指导实践、推进工作，进一步强化“四个意识”，坚定“四个自信”,坚决落实党中央、国务院关于资本市场监管执法的各项决策部署，按照依法全面从严监管的工作方针，紧扣风险防范和稳定发展，聚焦重点领域和市场关切，严厉打击各类证券期货违法违规活动，全面提升稽查执法综合效能，确保市场运行有序，投资者权益得到有效保护，资本市场服务实体经济的功能得到充分发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b/>
          <w:bCs/>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w:t>
      </w:r>
      <w:r>
        <w:rPr>
          <w:rFonts w:hint="eastAsia" w:ascii="华文楷体" w:hAnsi="华文楷体" w:eastAsia="华文楷体" w:cs="华文楷体"/>
          <w:b/>
          <w:bCs/>
          <w:color w:val="333333"/>
          <w:sz w:val="24"/>
          <w:szCs w:val="24"/>
          <w:bdr w:val="none" w:color="auto" w:sz="0" w:space="0"/>
          <w:shd w:val="clear" w:fill="FFFFFF"/>
        </w:rPr>
        <w:t>一、严厉打击违法违规，落实整治市场乱象新定位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案件查办取得显著成效。2017年，证监会从维护市场稳定健康发展的全局出发，立足于防控系统性风险、净化市场环境，坚持打好常规案件查办与专项执法行动“组合拳”，始终保持对各类证券期货违法活动的高压态势。全年新启动调查478件,新增立案案件312件，其中重大案件90件，同比增长一倍。此外，新增涉外案件157件。全年办结立案案件335件，同比增长43％；其中，31起案件移送公安机关追究刑事责任，公安机关已对其中20件立案侦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专项行动发挥风险防控作用。我会坚持以专项执法行动为抓手，集中打击重点领域典型违法行为，及时化解潜在风险隐患。今年共部署4个批次专项执法行动，组织查办54起重大典型案件。集中打击股票发行和持续披露环节虚假陈述，查办雅百特海外造假、昆明机床连续多年财务舞弊及相关中介机构未勤勉尽责等10起典型案件，严防有毒资产侵蚀市场运行基础。部署打击恶性操纵市场专项行动，查获马永威等人系列操纵等16起重大案件，及时遏制“炒新”“炒小”对市场秩序的严重干扰。开展专项行动集中查办涉及并购重组、高送转、重大投资决策等多个领域的18起内幕交易案件，对弘高创意实际控制人甄建涛、鱼跃医疗董事长吴光明等人涉嫌内幕交易立案调查，坚决维护市场公平交易原则。针对私募基金领域的专项执法行动集中部署10起案件，重点打击违规经营、利益输送、管理失范等可能引发风险外溢的违法行为，力促行业规范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查办重大案件提振市场信心。严惩浙江九好忽悠式重组、慧球科技1001奇葩议案等无视监管红线、挑战法律底线的恶性案件。彻查龙薇传媒虚假陈述、佳电股份财务造假、山东墨龙业绩变脸等并购重组、大股东减持领域的重大违法行为。快查快处同花顺传播误导信息、曾改雄编造传播期货市场不实信息等扰乱市场信息传播秩序的“黑嘴”。严肃处理债券、期货市场暴露的风险隐患，依法查办五洋建设违法违规、操纵期货合约等多起案件。坚决打击敢于“兴风作浪”的资本大鳄，严惩了鲜言、唐汉博、朱康军、任良成等一批惯犯累犯、职业违法团伙。过去一年，稽查部门集中力量查办各领域重大有影响案件，形成了强大的执法威慑，及时回应了市场关切，取得良好的市场效果、法律效果和社会效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w:t>
      </w:r>
      <w:r>
        <w:rPr>
          <w:rFonts w:hint="eastAsia" w:ascii="华文楷体" w:hAnsi="华文楷体" w:eastAsia="华文楷体" w:cs="华文楷体"/>
          <w:b/>
          <w:bCs/>
          <w:color w:val="333333"/>
          <w:sz w:val="24"/>
          <w:szCs w:val="24"/>
          <w:bdr w:val="none" w:color="auto" w:sz="0" w:space="0"/>
          <w:shd w:val="clear" w:fill="FFFFFF"/>
        </w:rPr>
        <w:t>　二、加强执法机制建设，执法效能提升取得新进展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提升线索发现处理水平。构建即时关注、即时分析、即时反馈、即时核查的快速反应机制，紧盯重要时点、重点股票、重点行为、重点账户，加强实时监控和预警预测，提高线索发现分析的主动性、前瞻性、针对性。全年共受理违法违规有效线索625件，调查启动率76％。会同交易所研究数据协查统计口径和异常交易线索报告标准，提高了线索质量和案件查办效率。制定类案线索筛查指引，创新数据辅助分析模型，完善线索分层分类处理，提高打击及时性和精准度。</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xml:space="preserve">　　优化调查组织管理模式。在大要案办理中充分利用以案代训、援派组长、联合办案等调查模式，统筹系统稽查资源，集中力量快速突破案件，专项行动案件平均调查时间仅为65天，慧球科技1001奇葩议案、雅百特案查结分别用时34天和37天，山东墨龙案查结仅用21天。建立优秀调查组长人才库，充分发挥业务引领作用，实现战斗力的辐射效应。健全以调查组为基础单元的管理模式，严格落实调查单位的主体责任。加强案件办理的监督指导，建立重点案件全程跟进、新型案件专题研究、常规案件节点把控的督导机制。建立稽查局、稽查总队一体化工作机制，在违法线索分析、案件质量控制、办案力量调配等方面形成良性互动，提高执法效率。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着力加强执法规范建设。有序推进类案调查证据规范的编制，统一重点执法环节的程序和标准，进一步规范一线调查办案工作。修订完善案件结案工作制度，防范结案环节执法风险。梳理案件查办遇到的新情况、新问题，及时向立法、司法部门反馈，积极推动《证券法》、《刑法》、操纵市场及利用未公开信息交易刑事司法解释等法律的修订和起草工作，夯实打击证券违法犯罪活动的法律基础。发挥稽查执法发现制度缺陷和监管漏洞的作用，推行稽查建议报告制度，全年形成稽查建议报告397份。</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b/>
          <w:bCs/>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w:t>
      </w:r>
      <w:r>
        <w:rPr>
          <w:rFonts w:hint="eastAsia" w:ascii="华文楷体" w:hAnsi="华文楷体" w:eastAsia="华文楷体" w:cs="华文楷体"/>
          <w:b/>
          <w:bCs/>
          <w:color w:val="333333"/>
          <w:sz w:val="24"/>
          <w:szCs w:val="24"/>
          <w:bdr w:val="none" w:color="auto" w:sz="0" w:space="0"/>
          <w:shd w:val="clear" w:fill="FFFFFF"/>
        </w:rPr>
        <w:t>　三、强化技术创新支持，科技执法建设取得新突破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全面规划科技化执法体系。坚持利用大数据、云计算、智能化提升科技化执法水平，召开稽查执法科技化建设专题会议，坚持“需求导向、统筹谋划、尊重规律、确保安全”的基本原则，遵循“重点推进、分步实施、先行试点、重见成效”的建设思路，设计构建以辐射稽查执法各环节的数据集中、数据建模、取证软件、质量控制、案件管理、调查辅助“六大工程”并辅以执法监督的总体框架，加快推进科技化执法系统性建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持续完善执法数据支持系统。建立银行资金电子化查询平台，有效提高调查办案效率。依托中央监控系统平台，建立稽查执法大数据支持系统，着手构建可疑主体智能查询、违法所得自动统计、不公平交易线索自动筛查等智能化分析模块，优化案件管理和涉案数据分析系统。全面归集违法违规线索、案件历史数据，建立案件数据库，提高数据集中利用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着力提高办案技术装备水平。为39家调查单位配发包括执法记录仪在内的700余套执法装备。挖掘系统技术资源，组织调查单位开发稽查信息共享云平台、鹰眼资金分析软件、内幕交易调查分析系统等一批实用性调查软件工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w:t>
      </w:r>
      <w:r>
        <w:rPr>
          <w:rFonts w:hint="eastAsia" w:ascii="华文楷体" w:hAnsi="华文楷体" w:eastAsia="华文楷体" w:cs="华文楷体"/>
          <w:b/>
          <w:bCs/>
          <w:color w:val="333333"/>
          <w:sz w:val="24"/>
          <w:szCs w:val="24"/>
          <w:bdr w:val="none" w:color="auto" w:sz="0" w:space="0"/>
          <w:shd w:val="clear" w:fill="FFFFFF"/>
        </w:rPr>
        <w:t>　四、深入开展执法协作，形成协同配合的执法新格局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强化行政执法与刑事司法的紧密衔接。与公安部五个证券犯罪办案基地密切配合，在15起案件的线索发现、情报沟通、问题研判等方面无缝衔接，精准打击。完善重大案件一体化办案机制，在联合调查、信息共享等方面进一步深化合作。充分发挥专业优势，应公安机关要求出具行政认定意见，支持检察起诉、司法审判。联合北京市西城区法院开展涉金融案件集中执行活动，涉及2014年以来我会申请法院强制执行的41起未执结案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加强与相关行政监管部门的联动协作。在国务院金融稳定发展委员会的指导下，深化与人民银行、银监会、保监会的执法合作，健全在反洗钱、打击“老鼠仓”、债券执法等方面的协作机制。认真贯彻落实工信部、证监会战略合作协议，建立打击证券期货违法案件协作机制，全年办理协查事项千余件。积极探索与税务部门的执法协作，为浙江九好案的案件突破提供重要帮助。深化与审计署的重大案件线索通报和反馈机制。加强与纪检监察、国资管理等部门的沟通协作，联合防控内幕交易和利益输送等违法行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xml:space="preserve">　　不断拓宽跨境联合监管执法空间。巩固和深化内地与香港的执法合作，全年开展各类跨境执法协作事项145件，共同研究建立协同调查工作机制，召开两次执法合作工作会议，联合举办典型案例研讨培训班，互派执法人员交流实习。与巴基斯坦证监会、迪拜金融管理局等监管机构开展执法合作，为查实雅百特跨境财务造假案提供有力支持。加强与加拿大、日本、马来西亚等境外证券执法部门的沟通联系，增进执法合作共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w:t>
      </w:r>
      <w:r>
        <w:rPr>
          <w:rFonts w:hint="eastAsia" w:ascii="华文楷体" w:hAnsi="华文楷体" w:eastAsia="华文楷体" w:cs="华文楷体"/>
          <w:b/>
          <w:bCs/>
          <w:color w:val="333333"/>
          <w:sz w:val="24"/>
          <w:szCs w:val="24"/>
          <w:bdr w:val="none" w:color="auto" w:sz="0" w:space="0"/>
          <w:shd w:val="clear" w:fill="FFFFFF"/>
        </w:rPr>
        <w:t>五、强化政治纪律作风，稽查队伍建设取得新进步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深入学习贯彻党的十九大精神。稽查系统牢固树立“四个意识”，坚持读原著、学原文、悟原理，在学懂弄通做实上下功夫，切实把思想和行动统一到党的十九大精神上来，自觉维护以习近平同志为核心的党中央权威和集中统一领导，坚决以习近平新时代中国特色社会主义思想指导、推动稽查执法工作，坚决整治市场乱象，维护市场秩序，坚守不发生系统性风险的底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切实落实全面从严治党的工作要求。牢记稽查执法的政治使命和政治责任，坚定从严执法的政治定力。通过学党规党纪、读党史理论、开展自查自纠等方式，深化“两学一做”学习教育活动，强化政治纪律和规矩意识。认真落实“三会一课”等组织生活制度，充分发挥基层党组织的战斗堡垒作用。严格执行稽查办案十项禁令等制度，构建廉政防控长效机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锤炼纪律作风和提升办案能力。组织3个批次198人参加的稽查干部政治、纪律和作风专项培训，明确提出参照公安纪律部队模式加强培训管理，提高稽查干部的政治觉悟，养成纪律严明、作风严谨、敢于担当的优良传统。按照实战与培训结合的原则，举办调查实施与应急处置、典型案例分析、电子取证、稽查宣传等9期专题培训，累计培训651人次，促进稽查干部提高实战本领和业务水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left"/>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 xml:space="preserve">　　2018年，我会将以党的十九大精神为引领，坚决以习近平新时代中国特色社会主义思想为指导，全面贯彻第五次全国金融工作会议和中央经济工作会议的决策部署，坚持依法全面从严监管，打好防控金融风险的攻坚战，坚决打击证券期货违法违规行为，保护投资者合法权益，确保证券期货监管目标的顺利实现，为资本市场服务实体经济、助力高质量发展，营造公开、公平、公正的市场环境。 </w:t>
      </w: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i w:val="0"/>
          <w:caps w:val="0"/>
          <w:color w:val="auto"/>
          <w:spacing w:val="0"/>
          <w:sz w:val="24"/>
          <w:szCs w:val="24"/>
          <w:shd w:val="clear" w:fill="FFFFFF"/>
          <w:lang w:val="en-US" w:eastAsia="zh-CN"/>
        </w:rPr>
      </w:pPr>
      <w:bookmarkStart w:id="23" w:name="证监会通报证券行业“自查自纠、规整规范”专项活动现场检查情况"/>
      <w:r>
        <w:rPr>
          <w:rFonts w:hint="eastAsia" w:ascii="华文中宋" w:hAnsi="华文中宋" w:eastAsia="华文中宋" w:cs="华文中宋"/>
          <w:b/>
          <w:bCs/>
          <w:i w:val="0"/>
          <w:caps w:val="0"/>
          <w:color w:val="auto"/>
          <w:spacing w:val="0"/>
          <w:sz w:val="24"/>
          <w:szCs w:val="24"/>
          <w:shd w:val="clear" w:fill="FFFFFF"/>
          <w:lang w:val="en-US" w:eastAsia="zh-CN"/>
        </w:rPr>
        <w:t>证监会通报证券行业“自查自纠、规整规范”专项活动现场检查情况</w:t>
      </w:r>
    </w:p>
    <w:bookmarkEnd w:id="23"/>
    <w:p>
      <w:pPr>
        <w:spacing w:line="360" w:lineRule="auto"/>
        <w:jc w:val="both"/>
        <w:rPr>
          <w:rFonts w:hint="eastAsia" w:ascii="华文楷体" w:hAnsi="华文楷体" w:eastAsia="华文楷体" w:cs="华文楷体"/>
          <w:b w:val="0"/>
          <w:i w:val="0"/>
          <w:caps w:val="0"/>
          <w:color w:val="auto"/>
          <w:spacing w:val="0"/>
          <w:sz w:val="21"/>
          <w:szCs w:val="21"/>
          <w:shd w:val="clear" w:fill="FFFFFF"/>
          <w:lang w:val="en-US" w:eastAsia="zh-CN"/>
        </w:rPr>
      </w:pP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为深入贯彻落实依法全面从严监管要求，督促证券公司切实提升投行类业务内部控制水平、树立主体风险意识，实现防风险、守底线，增强服务实体经济能力的目标，2017年，我会部署开展了证券行业“自查自纠、规整规范”专项活动。</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近年来，投行类业务总体保持良好发展态势，相关中介机构的执业水平和规范意识不断提升，在沟通投融两端、提高直接融资比重方面发挥了重要作用。然而，随着投行类业务的迅速发展，一些问题和风险隐患也开始逐渐暴露，主要表现为风险防控让位于业务规模、稳定健康发展让位于追求短期利益，难以满足新形势下服务实体经济发展的要求，需要进行整顿规范。</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本次专项活动采取行业全面自查结合现场检查的“点面结合”方式开展，活动范围涵盖了近两年发展迅速的上市公司并购重组财务顾问、公司债券承销（受托管理）、新三板推荐和资产证券化等多项投行类业务。</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自查阶段，共有165家证券公司和基金公司子公司对自身投行类业务内控情况和2015年-2016年项目执业情况进行了全面、系统风险排查，基本做到了主动报告问题，积极有效整改,主动化解潜在风险。</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检查阶段，我会组织部分派出机构对13家证券公司和4家基金公司子公司的投行类业务开展了现场检查，从内部控制和执业质量两方面对公司自查情况进行了检验。从检查结果来看，投行类业务无论在内部控制健全程度还是项目执业质量上均有所提升，整体趋好，显示出前期自查整改活动取得了良好成效。另一方面，部分检查对象仍暴露出违规问题，涉及合规风控未全面有效覆盖、内部控制未有效执行、尽职调查不充分、信息披露有失准确完整以及后续管理未尽责等方面。</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根据违规问题的情形不同，我会拟采取以下措施并计入诚信档案。</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证券公司方面:一是对西南证券采取公开谴责并责令改正的监督管理措施。同时，对相关人员采取公开谴责或者监管谈话的监督管理措施。二是对国海、中金、华林等3家证券公司分别采取责令限期改正、增加内部合规检查次数并提交合规检查报告的监督管理措施。三是对国金、天风等2家证券公司分别采取出具警示函的监督管理措施。</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基金公司子公司方面：一是对富诚海富通采取责令改正的监督管理措施。同时，通报基金业协会采取暂停资产支持专项计划备案3个月的自律惩戒措施。对相关人员采取监管谈话的监督管理措施。二是对方正富邦创融采取责令改正的监督管理措施；对博时资本采取出具警示函的监督管理措施。</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下一步，我会将持续关注并督促相关中介机构落实整改要求、完成整改工作，同时通过完善法规体系从机制上规范投行类业务活动，督促中介机构切实提升投行类业务内部控制水平和执业质量，引导行业持续健康发展。各中介机构应当结合自身问题深入反思、扎实整改，牢固树立主体意识和风险理念，建立健全内部控制机制，有效保障各类投行业务规范、稳健运营。</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4" w:name="证监会新闻发言人高莉就防范市场风险、严厉打击操纵市场、维护市场秩序答记者问"/>
      <w:r>
        <w:rPr>
          <w:rFonts w:hint="eastAsia" w:ascii="华文中宋" w:hAnsi="华文中宋" w:eastAsia="华文中宋" w:cs="华文中宋"/>
          <w:b/>
          <w:bCs/>
          <w:sz w:val="24"/>
          <w:szCs w:val="24"/>
          <w:lang w:val="en-US" w:eastAsia="zh-CN"/>
        </w:rPr>
        <w:t>证监会新闻发言人高莉就防范市场风险、严厉打击操纵市场、</w:t>
      </w:r>
    </w:p>
    <w:p>
      <w:pPr>
        <w:spacing w:line="360" w:lineRule="auto"/>
        <w:ind w:firstLine="480" w:firstLineChars="200"/>
        <w:jc w:val="center"/>
        <w:rPr>
          <w:rFonts w:hint="eastAsia" w:ascii="华文楷体" w:hAnsi="华文楷体" w:eastAsia="华文楷体" w:cs="华文楷体"/>
          <w:sz w:val="24"/>
          <w:szCs w:val="24"/>
          <w:lang w:val="en-US" w:eastAsia="zh-CN"/>
        </w:rPr>
      </w:pPr>
      <w:r>
        <w:rPr>
          <w:rFonts w:hint="eastAsia" w:ascii="华文中宋" w:hAnsi="华文中宋" w:eastAsia="华文中宋" w:cs="华文中宋"/>
          <w:b/>
          <w:bCs/>
          <w:sz w:val="24"/>
          <w:szCs w:val="24"/>
          <w:lang w:val="en-US" w:eastAsia="zh-CN"/>
        </w:rPr>
        <w:t>维护市场秩序答记者问</w:t>
      </w:r>
    </w:p>
    <w:bookmarkEnd w:id="24"/>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来源：中国证监会</w:t>
      </w:r>
    </w:p>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firstLineChars="200"/>
        <w:rPr>
          <w:rFonts w:hint="eastAsia" w:ascii="华文楷体" w:hAnsi="华文楷体" w:eastAsia="华文楷体" w:cs="华文楷体"/>
          <w:sz w:val="24"/>
          <w:szCs w:val="24"/>
        </w:rPr>
      </w:pPr>
      <w:r>
        <w:rPr>
          <w:rFonts w:hint="eastAsia" w:ascii="华文楷体" w:hAnsi="华文楷体" w:eastAsia="华文楷体" w:cs="华文楷体"/>
          <w:color w:val="333333"/>
          <w:sz w:val="24"/>
          <w:szCs w:val="24"/>
          <w:bdr w:val="none" w:color="auto" w:sz="0" w:space="0"/>
          <w:shd w:val="clear" w:fill="FFFFFF"/>
        </w:rPr>
        <w:t>问：有媒体报道，针对近期市场概念炒作和市场操纵露头情况，证监会一直保持严密监控，将严厉打击其中存在的违法违规情况。能否介绍一下具体情况？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rPr>
          <w:rFonts w:hint="eastAsia" w:ascii="华文楷体" w:hAnsi="华文楷体" w:eastAsia="华文楷体" w:cs="华文楷体"/>
          <w:color w:val="333333"/>
          <w:sz w:val="24"/>
          <w:szCs w:val="24"/>
          <w:bdr w:val="none" w:color="auto" w:sz="0" w:space="0"/>
          <w:shd w:val="clear" w:fill="FFFFFF"/>
        </w:rPr>
      </w:pPr>
      <w:r>
        <w:rPr>
          <w:rFonts w:hint="eastAsia" w:ascii="华文楷体" w:hAnsi="华文楷体" w:eastAsia="华文楷体" w:cs="华文楷体"/>
          <w:color w:val="333333"/>
          <w:sz w:val="24"/>
          <w:szCs w:val="24"/>
          <w:bdr w:val="none" w:color="auto" w:sz="0" w:space="0"/>
          <w:shd w:val="clear" w:fill="FFFFFF"/>
        </w:rPr>
        <w:t>答：我会已关注到相关报道。根据市场监控系统报告，近期，部分板块、一些个股异常交易特征明显，股价呈现快速上涨态势，涉嫌存在操纵市场等违法行为，严重扰乱市场秩序，可能积聚市场风险。对此，证监会稽查部门高度重视，已经密切关注借势炒作高价股、概念股、热点股等突出问题，对于存在涉嫌操纵市场行为的，执法部门将坚决出“重拳”打击。</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firstLine="480"/>
        <w:rPr>
          <w:rFonts w:hint="eastAsia" w:ascii="华文楷体" w:hAnsi="华文楷体" w:eastAsia="华文楷体" w:cs="华文楷体"/>
          <w:color w:val="333333"/>
          <w:sz w:val="24"/>
          <w:szCs w:val="24"/>
          <w:bdr w:val="none" w:color="auto" w:sz="0" w:space="0"/>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rPr>
          <w:rFonts w:hint="eastAsia" w:ascii="华文楷体" w:hAnsi="华文楷体" w:eastAsia="华文楷体" w:cs="华文楷体"/>
          <w:sz w:val="24"/>
          <w:szCs w:val="24"/>
        </w:rPr>
      </w:pPr>
      <w:r>
        <w:rPr>
          <w:rFonts w:hint="eastAsia" w:ascii="华文楷体" w:hAnsi="华文楷体" w:eastAsia="华文楷体" w:cs="华文楷体"/>
          <w:color w:val="333333"/>
          <w:sz w:val="24"/>
          <w:szCs w:val="24"/>
          <w:bdr w:val="none" w:color="auto" w:sz="0" w:space="0"/>
          <w:shd w:val="clear" w:fill="FFFFFF"/>
        </w:rPr>
        <w:t>　　2017年，证监会立案调查38起市场操纵案件，专门针对恶性操纵市场行为集中部署了专项执法行动，工作取得积极进展。前期，我会已对马永威操纵“福达股份”案、廖国沛操纵“桐君阁”等15只股票价格案等多起案件作出严肃处理。近日，我会又对某公司涉嫌操纵“张家港行”、“江阴银行”、“和胜股份”3只次新股违法案，相关主体涉嫌滥用信息优势合谋操纵“大连电瓷”违法案等多起恶性案件作出处罚事先告知，后续将依法严肃处理。近期，相关主体涉嫌操纵“柘中股份”等17只股票、涉案金额合计高达65亿元的一批重大案件已陆续进入处罚审理环节，相关主体涉嫌操纵数十只股票价格的多起典型案件正在依法展开调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rPr>
          <w:rFonts w:hint="eastAsia" w:ascii="华文楷体" w:hAnsi="华文楷体" w:eastAsia="华文楷体" w:cs="华文楷体"/>
          <w:sz w:val="24"/>
          <w:szCs w:val="24"/>
        </w:rPr>
      </w:pPr>
      <w:r>
        <w:rPr>
          <w:rFonts w:hint="eastAsia" w:ascii="华文楷体" w:hAnsi="华文楷体" w:eastAsia="华文楷体" w:cs="华文楷体"/>
          <w:color w:val="333333"/>
          <w:sz w:val="24"/>
          <w:szCs w:val="24"/>
          <w:bdr w:val="none" w:color="auto" w:sz="0" w:space="0"/>
          <w:shd w:val="clear" w:fill="FFFFFF"/>
        </w:rPr>
        <w:t>　　总体看，经过持续严厉打击市场操纵违法行为，维护了公开公平公正的市场秩序，促进了市场回归价值投资理念。下一步，证监会将按照党中央国务院关于资本市场健康发展的决策部署，始终保持对操纵行为等各类违法行为的高压态势，坚决查处肆意妄为、逃避监管、影响恶劣的机构和个人，坚决打好防范化解市场风险的攻坚战，坚决守住不发生系统性金融风险的底线。证监会也提醒广大投资者切勿跟风炒作，坚持价值投资，免受不法行为侵害。</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5" w:name="保险资金运用管理办法"/>
      <w:r>
        <w:rPr>
          <w:rFonts w:hint="eastAsia" w:ascii="华文中宋" w:hAnsi="华文中宋" w:eastAsia="华文中宋" w:cs="华文中宋"/>
          <w:b/>
          <w:bCs/>
          <w:sz w:val="24"/>
          <w:szCs w:val="24"/>
          <w:lang w:val="en-US" w:eastAsia="zh-CN"/>
        </w:rPr>
        <w:t>保险资金运用管理办法</w:t>
      </w:r>
    </w:p>
    <w:bookmarkEnd w:id="25"/>
    <w:p>
      <w:pPr>
        <w:spacing w:line="360" w:lineRule="auto"/>
        <w:ind w:firstLine="420" w:firstLineChars="200"/>
        <w:jc w:val="center"/>
        <w:rPr>
          <w:rFonts w:hint="eastAsia" w:ascii="华文楷体" w:hAnsi="华文楷体" w:eastAsia="华文楷体" w:cs="华文楷体"/>
          <w:b w:val="0"/>
          <w:i w:val="0"/>
          <w:caps w:val="0"/>
          <w:color w:val="auto"/>
          <w:spacing w:val="0"/>
          <w:sz w:val="21"/>
          <w:szCs w:val="21"/>
          <w:shd w:val="clear" w:fill="FFFFFF"/>
          <w:lang w:val="en-US" w:eastAsia="zh-CN"/>
        </w:rPr>
      </w:pPr>
      <w:r>
        <w:rPr>
          <w:rFonts w:hint="eastAsia" w:ascii="华文楷体" w:hAnsi="华文楷体" w:eastAsia="华文楷体" w:cs="华文楷体"/>
          <w:b w:val="0"/>
          <w:i w:val="0"/>
          <w:caps w:val="0"/>
          <w:color w:val="auto"/>
          <w:spacing w:val="0"/>
          <w:sz w:val="21"/>
          <w:szCs w:val="21"/>
          <w:shd w:val="clear" w:fill="FFFFFF"/>
          <w:lang w:val="en-US" w:eastAsia="zh-CN"/>
        </w:rPr>
        <w:t>日期：2018年1月26日 来源：中国保监会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保监会令〔2018〕1号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《保险资金运用管理办法》已经2018年1月10日中国保险监督管理委员会第5次主席办公会审议通过。现予公布，自2018年4月1日起实施。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副主席 陈文辉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2018年1月24日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b/>
          <w:bCs w:val="0"/>
          <w:color w:val="auto"/>
          <w:sz w:val="28"/>
          <w:szCs w:val="28"/>
        </w:rPr>
      </w:pPr>
      <w:r>
        <w:rPr>
          <w:rStyle w:val="12"/>
          <w:rFonts w:hint="eastAsia" w:ascii="华文楷体" w:hAnsi="华文楷体" w:eastAsia="华文楷体" w:cs="华文楷体"/>
          <w:b/>
          <w:bCs w:val="0"/>
          <w:color w:val="auto"/>
          <w:sz w:val="28"/>
          <w:szCs w:val="28"/>
          <w:bdr w:val="none" w:color="auto" w:sz="0" w:space="0"/>
        </w:rPr>
        <w:t>保险资金运用管理办法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b/>
          <w:bCs w:val="0"/>
          <w:color w:val="403F3D"/>
          <w:sz w:val="24"/>
          <w:szCs w:val="24"/>
          <w:bdr w:val="none" w:color="auto" w:sz="0" w:space="0"/>
        </w:rPr>
        <w:t>第一章 总 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第一条 为了规范保险资金运用行为，防范保险资金运用风险，保护保险当事人合法权益，维护保险市场秩序，根据《中华人民共和国保险法》等法律、行政法规，制定本办法。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bdr w:val="none" w:color="auto" w:sz="0" w:space="0"/>
        </w:rPr>
      </w:pPr>
      <w:r>
        <w:rPr>
          <w:rFonts w:hint="eastAsia" w:ascii="华文楷体" w:hAnsi="华文楷体" w:eastAsia="华文楷体" w:cs="华文楷体"/>
          <w:color w:val="403F3D"/>
          <w:sz w:val="24"/>
          <w:szCs w:val="24"/>
          <w:bdr w:val="none" w:color="auto" w:sz="0" w:space="0"/>
        </w:rPr>
        <w:t xml:space="preserve">第二条 在中国境内依法设立的保险集团（控股）公司、保险公司从事保险资金运用活动适用本办法规定。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480" w:firstLineChars="20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第三条 本办法所称保险资金，是指保险集团（控股）公司、保险公司以本外币计价的资本金、公积金、未分配利润、各项准备金以及其他资金。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第四条 保险资金运用必须以服务保险业为主要目标，坚持稳健审慎和安全性原则，符合偿付能力监管要求，根据保险资金性质实行资产负债管理和全面风险管理，实现集约化、专业化、规范化和市场化。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保险资金运用应当坚持独立运作。保险集团（控股）公司、保险公司的股东不得违法违规干预保险资金运用工作。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第五条 中国保险监督管理委员会（以下简称中国保监会）依法对保险资金运用活动进行监督管理。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b w:val="0"/>
          <w:bCs/>
          <w:color w:val="auto"/>
          <w:sz w:val="24"/>
          <w:szCs w:val="24"/>
          <w:bdr w:val="none" w:color="auto" w:sz="0" w:space="0"/>
        </w:rPr>
        <w:t>第二章资金运用形式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color w:val="403F3D"/>
          <w:sz w:val="24"/>
          <w:szCs w:val="24"/>
          <w:bdr w:val="none" w:color="auto" w:sz="0" w:space="0"/>
        </w:rPr>
        <w:t>第一节 资金运用范围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第六条 保险资金运用限于下列形式：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（一）银行存款；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（二）买卖债券、股票、证券投资基金份额等有价证券；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（三）投资不动产；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（四）投资股权；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（五）国务院规定的其他资金运用形式。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保险资金从事境外投资的，应当符合中国保监会、中国人民银行和国家外汇管理局的相关规定。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第七条 保险资金办理银行存款的，应当选择符合下列条件的商业银行作为存款银行：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（一）资本充足率、净资产和拨备覆盖率等符合监管要求；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（二）治理结构规范、内控体系健全、经营业绩良好；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（三）最近三年未发现重大违法违规行为；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（四）信用等级达到中国保监会规定的标准。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第八条 保险资金投资的债券，应当达到中国保监会认可的信用评级机构评定的、且符合规定要求的信用级别，主要包括政府债券、金融债券、企业（公司）债券、非金融企业债务融资工具以及符合规定的其他债券。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第九条 保险资金投资的股票，主要包括公开发行并上市交易的股票和上市公司向特定对象非公开发行的股票。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保险资金开展股票投资，分为一般股票投资、重大股票投资和上市公司收购等，中国保监会根据不同情形实施差别监管。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保险资金投资全国中小企业股份转让系统挂牌的公司股票，以及以外币认购及交易的股票，由中国保监会另行规定。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第十条 保险资金投资证券投资基金的，其基金管理人应当符合下列条件：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（一）公司治理良好、风险控制机制健全；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（二）依法履行合同，维护投资者合法权益；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（三）设立时间一年（含）以上；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（四）最近三年没有重大违法违规行为；设立未满三年的，自其成立之日起没有重大违法违规行为；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（五）建立有效的证券投资基金和特定客户资产管理业务之间的防火墙机制；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（六）投资团队稳定，历史投资业绩良好，管理资产规模或者基金份额相对稳定。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第十一条 保险资金投资的不动产，是指土地、建筑物以及其他附着于土地上的定着物，具体办法由中国保监会制定。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第十二条 保险资金投资的股权，应当为境内依法设立和注册登记，且未在证券交易所公开上市的股份有限公司和有限责任公司的股权。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第十三条 保险集团（控股）公司、保险公司购置自用不动产、开展上市公司收购或者从事对其他企业实现控股的股权投资，应当使用自有资金。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第十四条 保险集团（控股）公司、保险公司对其他企业实现控股的股权投资，应当满足有关偿付能力监管规定。保险集团（控股）公司的保险子公司不符合中国保监会偿付能力监管要求的，该保险集团（控股）公司不得向非保险类金融企业投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实现控股的股权投资应当限于下列企业：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（一）保险类企业，包括保险公司、保险资产管理机构以及保险专业代理机构、保险经纪机构、保险公估机构；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（二）非保险类金融企业；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（三）与保险业务相关的企业。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本办法所称保险资产管理机构，是指经中国保监会同意，依法登记注册，受托管理保险资金等资金的金融机构，包括保险资产管理公司及其子公司、其他专业保险资产管理机构。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第十五条 保险资金可以投资资产证券化产品。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前款所称资产证券化产品，是指金融机构以可特定化的基础资产所产生的现金流为偿付支持，通过结构化等方式进行信用增级，在此基础上发行的金融产品。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第十六条 保险资金可以投资创业投资基金等私募基金。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前款所称创业投资基金是指依法设立并由符合条件的基金管理机构管理，主要投资创业企业普通股或者依法可转换为普通股的优先股、可转换债券等权益的股权投资基金。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第十七条 保险资金可以投资设立不动产、基础设施、养老等专业保险资产管理机构，专业保险资产管理机构可以设立符合条件的保险私募基金，具体办法由中国保监会制定。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第十八条 除中国保监会另有规定以外，保险集团（控股）公司、保险公司从事保险资金运用，不得有下列行为：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（一）存款于非银行金融机构；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（二）买入被交易所实行“特别处理”“警示存在终止上市风险的特别处理”的股票；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（三）投资不符合国家产业政策的企业股权和不动产；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（四）直接从事房地产开发建设；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（五）将保险资金运用形成的投资资产用于向他人提供担保或者发放贷款，个人保单质押贷款除外；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（六）中国保监会禁止的其他投资行为。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第十九条 保险集团（控股）公司、保险公司从事保险资金运用应当符合中国保监会比例监管要求，具体规定由中国保监会另行制定。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中国保监会根据保险资金运用实际情况，可以对保险资产的分类、品种以及相关比例等进行调整。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第二十条 投资连结保险产品和非寿险非预定收益投资型保险产品的资金运用，应当在资产隔离、资产配置、投资管理等环节，独立于其他保险产品资金，具体办法由中国保监会制定。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color w:val="403F3D"/>
          <w:sz w:val="24"/>
          <w:szCs w:val="24"/>
          <w:bdr w:val="none" w:color="auto" w:sz="0" w:space="0"/>
        </w:rPr>
        <w:t>第二节 资金运用模式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第二十一条 保险集团（控股）公司、保险公司应当按照“集中管理、统一配置、专业运作”的要求，实行保险资金的集约化、专业化管理。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保险资金应当由法人机构统一管理和运用，分支机构不得从事保险资金运用业务。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第二十二条 保险集团（控股）公司、保险公司应当选择符合条件的商业银行等专业机构，实施保险资金运用第三方托管和监督，具体办法由中国保监会制定。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托管的保险资产独立于托管机构固有资产，并独立于托管机构托管的其他资产。托管机构因依法解散、被依法撤销或者被依法宣告破产等原因进行清算的，托管资产不属于其清算财产。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第二十三条 托管机构从事保险资金托管的，主要职责包括：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（一）保险资金的保管、清算交割和资产估值；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（二）监督投资行为；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（三）向有关当事人披露信息；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（四）依法保守商业秘密；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（五）法律、行政法规、中国保监会规定和合同约定的其他职责。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第二十四条 托管机构从事保险资金托管，不得有下列行为：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（一）挪用托管资金；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（二）混合管理托管资金和自有资金或者混合管理不同托管账户资金；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（三）利用托管资金及其相关信息谋取非法利益；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（四）其他违法行为。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第二十五条 保险集团（控股）公司、保险公司、保险资产管理机构开展保险资金运用业务，应当具备相应的投资管理能力。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第二十六条 保险集团（控股）公司、保险公司根据投资管理能力和风险管理能力，可以按照相关监管规定自行投资或者委托符合条件的投资管理人作为受托人进行投资。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本办法所称投资管理人，是指依法设立的，符合中国保监会规定的保险资产管理机构、证券公司、证券资产管理公司、证券投资基金管理公司等专业投资管理机构。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第二十七条 保险集团（控股）公司、保险公司委托投资管理人投资的，应当订立书面合同，约定双方权利与义务，确保委托人、受托人、托管人三方职责各自独立。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保险集团（控股）公司、保险公司应当履行制定资产战略配置指引、选择受托人、监督受托人执行情况、评估受托人投资绩效等职责。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受托人应当执行委托人资产配置指引，根据保险资金特性构建投资组合，公平对待不同资金。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第二十八条 保险集团（控股）公司、保险公司委托投资管理人投资的，不得有下列行为：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（一）妨碍、干预受托人正常履行职责；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（二）要求受托人提供其他委托机构信息；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（三）要求受托人提供最低投资收益保证；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（四）非法转移保险利润或者进行其他不正当利益输送；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（五）其他违法行为。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第二十九条 投资管理人受托管理保险资金的，不得有下列行为：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（一）违反合同约定投资；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（二）不公平对待不同资金；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（三）混合管理自有、受托资金或者不同委托机构资金；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（四）挪用受托资金；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（五）向委托机构提供最低投资收益承诺；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（六）以保险资金及其投资形成的资产为他人设定担保；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（七）将受托资金转委托；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（八）为委托机构提供通道服务；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（九）其他违法行为。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第三十条 保险资产管理机构根据中国保监会相关规定，可以将保险资金运用范围内的投资品种作为基础资产，开展保险资产管理产品业务。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委托投资或者购买保险资产管理产品，保险资产管理机构应当根据合同约定，及时向有关当事人披露资金投向、投资管理、资金托管、风险管理和重大突发事件等信息，并保证披露信息的真实、准确和完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保险资产管理机构应当根据受托资产规模、资产类别、产品风险特征、投资业绩等因素，按照市场化原则，以合同方式与委托或者投资机构，约定管理费收入计提标准和支付方式。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产管理产品业务，是指由保险资产管理机构作为发行人和管理人，向保险集团（控股）公司、保险公司、保险资产管理机构以及其他合格投资者发售产品份额，募集资金，并选聘商业银行等专业机构为托管人，为投资人利益开展的投资管理活动。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第三十一条 保险资产管理机构开展保险资产管理产品业务，应当在中国保监会认可的资产登记交易平台进行发行、登记、托管、交易、结算、信息披露以及相关信用增进和抵质押融资等业务。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保险资金投资保险资产管理产品以外的其他金融产品，金融产品信息应当在中国保监会认可的资产登记交易平台进行登记和披露，具体操作参照保险资产管理产品的相关规定执行。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前款所称其他金融产品是指商业银行、信托公司、证券公司、证券投资基金管理公司等金融机构依照相关法律、行政法规发行，符合中国保监会规定的金融产品。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b/>
          <w:bCs w:val="0"/>
          <w:color w:val="auto"/>
          <w:sz w:val="24"/>
          <w:szCs w:val="24"/>
          <w:bdr w:val="none" w:color="auto" w:sz="0" w:space="0"/>
        </w:rPr>
        <w:t>第三章 决策运行机制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color w:val="403F3D"/>
          <w:sz w:val="24"/>
          <w:szCs w:val="24"/>
          <w:bdr w:val="none" w:color="auto" w:sz="0" w:space="0"/>
        </w:rPr>
        <w:t>第一节组织结构与职责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第三十二条 保险集团（控股）公司、保险公司应当建立健全公司治理，在公司章程和相关制度中明确规定股东（大）会、董事会、监事会和经营管理层的保险资金运用职责，实现保险资金运用决策权、运营权、监督权相互分离，相互制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第三十三条 保险资金运用实行董事会负责制。保险公司董事会应当对资产配置和投资政策、风险控制、合规管理承担最终责任，主要履行下列职责：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（一）审定保险资金运用管理制度；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（二）确定保险资金运用管理方式；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（三）审定投资决策程序和授权机制；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（四）审定资产战略配置规划、年度资产配置计划及相关调整方案；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（五）决定重大投资事项；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（六）审定新投资品种的投资策略和运作方案；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（七）建立资金运用绩效考核制度；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（八）其他相关职责。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董事会应当设立具有投资决策、资产负债管理和风险管理等相应职能的专业委员会。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第三十四条 保险集团（控股）公司、保险公司决定委托投资，以及投资无担保债券、股票、股权和不动产等重大保险资金运用事项，应当经董事会审议通过。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第三十五条 保险集团（控股）公司、保险公司经营管理层根据董事会授权，应当履行下列职责：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（一）负责保险资金运用的日常运营和管理工作；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（二）建立保险资金运用与财务、精算、产品和风险控制等部门之间的沟通协商机制；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（三）审议资产管理部门拟定的保险资产战略配置规划和年度资产配置计划及相关调整方案，并提交董事会审定；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（四）组织实施经董事会审定的资产战略配置规划和年度资产配置计划；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（五）控制和管理保险资金运用风险；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（六）其他相关职责。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第三十六条 保险集团（控股）公司、保险公司应当设置专门的保险资产管理部门，并独立于财务、精算、风险控制等其他业务部门，履行下列职责：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（一）拟定保险资金运用管理制度；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（二）拟定资产战略配置规划和年度资产配置计划及相关调整方案；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（三）执行资产战略配置规划和年度资产配置计划；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（四）实施保险资金运用风险管理措施；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（五）其他相关职责。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保险集团（控股）公司、保险公司自行投资的，保险资产管理部门应当负责日常投资和交易管理；委托投资的，保险资产管理部门应当履行监督投资行为和评估投资业绩等委托人职责。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第三十七条 保险集团（控股）公司、保险公司的保险资产管理部门应当在投资研究、资产清算、风险控制、业绩评估、相关保障等环节设置岗位，建立防火墙体系，实现专业化、规范化、程序化运作。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保险集团（控股）公司、保险公司自行投资的，保险资产管理部门应当设置投资、交易等与资金运用业务直接相关的岗位。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第三十八条 保险集团（控股）公司、保险公司风险管理部门以及具有相应管理职能的部门，应当履行下列职责：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（一）拟定保险资金运用风险管理制度；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（二）审核和监控保险资金运用合法合规性；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（三）识别、评估、跟踪、控制和管理保险资金运用风险；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（四）定期报告保险资金运用风险管理状况；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（五）其他相关职责。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第三十九条 保险资产管理机构应当设立首席风险管理执行官。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首席风险管理执行官为公司高级管理人员，负责组织和指导保险资产管理机构风险管理，履职范围应当包括保险资产管理机构运作的所有业务环节，独立向董事会、中国保监会报告有关情况，提出防范和化解重大风险建议。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首席风险管理执行官不得主管投资管理。如需更换，应当于更换前至少5个工作日向中国保监会书面说明理由和其履职情况。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2"/>
          <w:rFonts w:hint="eastAsia" w:ascii="华文楷体" w:hAnsi="华文楷体" w:eastAsia="华文楷体" w:cs="华文楷体"/>
          <w:color w:val="403F3D"/>
          <w:sz w:val="24"/>
          <w:szCs w:val="24"/>
          <w:bdr w:val="none" w:color="auto" w:sz="0" w:space="0"/>
        </w:rPr>
        <w:t>第二节 资金运用流程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第四十条 保险集团（控股）公司、保险公司应当建立健全保险资金运用的管理制度和内部控制机制，明确各个环节、有关岗位的衔接方式及操作标准，严格分离前、中、后台岗位责任，定期检查和评估制度执行情况，做到权责分明、相对独立和相互制衡。相关制度包括但不限于：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（一）资产配置相关制度；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（二）投资研究、决策和授权制度；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（三）交易和结算管理制度；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（四）绩效评估和考核制度；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（五）信息系统管理制度；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（六）风险管理制度等。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第四十一条 保险集团（控股）公司、保险公司应当以独立法人为单位，统筹境内境外两个市场，综合偿付能力约束、外部环境、风险偏好和监管要求等因素，分析保险资金成本、现金流和期限等负债指标，选择配置具有相应风险收益特征、期限及流动性的资产。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第四十二条 保险集团（控股）公司、保险公司应当建立专业化分析平台，并利用外部研究成果，研究制定涵盖交易对手管理和投资品种选择的模型和制度，实时跟踪并分析市场变化，为保险资金运用决策提供依据。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第四十三条 保险集团（控股）公司、保险公司应当建立健全相对集中、分级管理、权责统一的投资决策和授权制度，明确授权方式、权限、标准、程序、时效和责任，并对授权情况进行检查和逐级问责。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第四十四条 保险集团（控股）公司、保险公司应当建立和完善公平交易机制，有效控制相关人员操作风险和道德风险，防范交易系统的技术安全疏漏，确保交易行为的合规性、公平性和有效性。公平交易机制至少应当包括以下内容：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（一）实行集中交易制度，严格隔离投资决策与交易执行；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（二）构建符合相关要求的集中交易监测系统、预警系统和反馈系统；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（三）建立完善的交易记录制度；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（四）在账户设置、研究支持、资源分配、人员管理等环节公平对待不同资金等。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开展证券投资业务，应当遵守证券行业相关法律法规，建立健全风险隔离机制，实行相关从业人员本人及直系亲属投资信息申报制度，切实防范内幕交易、利用未公开信息交易、利益输送等违法违规行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第四十五条 保险集团（控股）公司、保险公司应当建立以资产负债管理为核心的绩效评估体系和评估标准，定期开展保险资金运用绩效评估和归因分析，推进长期投资、价值投资和分散化投资，实现保险资金运用总体目标。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第四十六条 保险集团（控股）公司、保险公司应当建立保险资金运用信息管理系统，减少或者消除人为操纵因素，自动识别、预警报告和管理控制资产管理风险，确保实时掌握风险状况。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信息管理系统应当设定合规性和风险指标阀值，将风险监控的各项要素固化到相关信息技术系统之中，降低操作风险、防止道德风险。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信息管理系统应当建立全面风险管理数据库，收集和整合市场基础资料，记录保险资金管理和投资交易的原始数据，保证信息平台共享。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b/>
          <w:bCs/>
          <w:color w:val="403F3D"/>
          <w:sz w:val="24"/>
          <w:szCs w:val="24"/>
        </w:rPr>
      </w:pPr>
      <w:r>
        <w:rPr>
          <w:rFonts w:hint="eastAsia" w:ascii="华文楷体" w:hAnsi="华文楷体" w:eastAsia="华文楷体" w:cs="华文楷体"/>
          <w:b/>
          <w:bCs/>
          <w:color w:val="403F3D"/>
          <w:sz w:val="24"/>
          <w:szCs w:val="24"/>
          <w:bdr w:val="none" w:color="auto" w:sz="0" w:space="0"/>
        </w:rPr>
        <w:t>第四章 风险管控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第四十七条 保险集团（控股）公司、保险公司应当建立全面覆盖、全程监控、全员参与的保险资金运用风险管理组织体系和运行机制，改进风险管理技术和信息技术系统，通过管理系统和稽核审计等手段，分类、识别、量化和评估各类风险，防范和化解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第四十八条 保险集团（控股）公司、保险公司应当管理和控制资产负债错配风险，以偿付能力约束和保险产品负债特性为基础，加强成本收益管理、期限管理和风险预算，确定保险资金运用风险限额，采用缺口分析、敏感性和情景测试等方法，评估和管理资产错配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第四十九条 保险集团（控股）公司、保险公司应当管理和控制流动性风险，根据保险业务特点和风险偏好，测试不同状况下可以承受的流动性风险水平和自身风险承受能力，制定流动性风险管理策略、政策和程序，防范流动性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第五十条 保险集团（控股）公司、保险公司应当管理和控制市场风险，评估和管理利率风险、汇率风险以及金融市场波动风险，建立有效的市场风险评估和管理机制，实行市场风险限额管理。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第五十一条 保险集团（控股）公司、保险公司应当管理和控制信用风险，建立信用风险管理制度，及时跟踪评估信用风险，跟踪分析持仓信用品种和交易对手，定期组织回测检验。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第五十二条 保险集团（控股）公司、保险公司应当加强同业拆借、债券回购和融资融券业务管理，严格控制融资规模和使用杠杆，禁止投机或者用短期拆借资金投资高风险和流动性差的资产。保险资金参与衍生产品交易，仅限于对冲风险，不得用于投机，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第五十三条 保险集团（控股）公司、保险公司、保险资产管理机构开展投资业务或者资产管理产品业务，应当建立风险责任人制度，明确相应的风险责任人，具体办法由中国保监会制定。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第五十四条 保险集团（控股）公司、保险公司应当建立内部稽核和外部审计制度。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保险集团（控股）公司、保险公司应当每年至少进行一次保险资金运用内部稽核。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保险集团（控股）公司、保险公司应当聘请符合条件的外部专业审计机构，对保险资金运用内部控制情况进行年度专项审计。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上述内部稽核和年度审计的结果应当向中国保监会报告。具体办法由中国保监会制定。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第五十五条 保险集团（控股）公司、保险公司主管投资的高级管理人员、保险资金运用部门负责人和重要岗位人员离任前应当进行离任审计，审计结果应当向中国保监会报告。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第五十六条 保险集团（控股）公司、保险公司应当建立保险资金运用风险处置机制，制定应急预案，及时控制和化解风险隐患。投资资产发生大幅贬值或者出现债权不能清偿的，应当制定处置方案，并及时报告中国保监会。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第五十七条 保险集团（控股）公司、保险公司应当确保风险管控相关岗位和人员具有履行职责所需知情权和查询权，有权查阅、询问所有与保险资金运用业务相关的数据、资料和细节，并列席与保险资金运用相关的会议。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第五十八条 保险集团（控股）公司、保险公司的保险资金运用行为涉及关联交易的，应当遵守法律、行政法规、国家会计制度，以及中国保监会的有关监管规定。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auto"/>
          <w:sz w:val="24"/>
          <w:szCs w:val="24"/>
        </w:rPr>
      </w:pPr>
      <w:r>
        <w:rPr>
          <w:rStyle w:val="12"/>
          <w:rFonts w:hint="eastAsia" w:ascii="华文楷体" w:hAnsi="华文楷体" w:eastAsia="华文楷体" w:cs="华文楷体"/>
          <w:color w:val="auto"/>
          <w:sz w:val="24"/>
          <w:szCs w:val="24"/>
          <w:bdr w:val="none" w:color="auto" w:sz="0" w:space="0"/>
        </w:rPr>
        <w:t>第五章 监督管理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第五十九条 中国保监会对保险资金运用的监督管理，采取现场监管与非现场监管相结合的方式。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中国保监会可以授权其派出机构行使保险资金运用监管职权。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第六十条 中国保监会应当根据公司治理结构、偿付能力、投资管理能力和风险管理能力，按照内控与合规计分等有关监管规则，对保险集团（控股）公司、保险公司保险资金运用实行分类监管、持续监管、风险监测和动态评估。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中国保监会应当强化对保险公司的资本约束，确定保险资金运用风险监管指标体系，并根据评估结果，采取相应监管措施，防范和化解风险。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第六十一条 保险集团（控股）公司、保险公司分管投资的高级管理人员、保险资产管理公司的董事、监事、高级管理人员，应当在任职前取得中国保监会核准的任职资格。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保险集团（控股）公司、保险公司的首席投资官由分管投资的高级管理人员担任。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保险集团（控股）公司、保险公司的首席投资官和资产管理部门主要负责人应当在任命后10个工作日内，由任职机构向中国保监会报告。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第六十二条 保险集团（控股）公司、保险公司的重大股权投资，应当报中国保监会核准。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重大股权投资的具体办法由中国保监会另行制定。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第六十三条 保险资产管理机构发行或者发起设立的保险资产管理产品，实行核准、备案或注册管理。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注册不对保险资产管理产品的投资价值以及风险作实质性判断。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第六十四条 中国保监会有权要求保险集团（控股）公司、保险公司提供报告、报表、文件和资料。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提交报告、报表、文件和资料，应当及时、真实、准确、完整。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第六十五条 保险集团（控股）公司、保险公司应当依法披露保险资金运用的相关信息。保险集团（控股）公司、保险公司的股东（大）会、董事会的重大投资决议，应当在决议作出后5个工作日内向中国保监会报告，中国保监会另有规定的除外。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第六十六条 中国保监会有权要求保险集团（控股）公司、保险公司将保险资金运用的有关数据与中国保监会的监管信息系统动态连接。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保险集团（控股）公司、保险公司应当按照中国保监会规定，及时、准确、完整地向中国保监会的监管信息系统报送相关数据。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第六十七条 保险集团（控股）公司和保险公司违反本办法规定，存在以下情形之一的，中国保监会可以限制其资金运用的形式和比例：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（一）偿付能力状况不符合中国保监会要求的；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（二）公司治理存在重大风险的；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（三）资金运用违反关联交易有关规定的。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第六十八条 保险集团（控股）公司、保险公司违反资金运用形式和比例有关规定的，由中国保监会责令限期改正。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第六十九条 中国保监会有权对保险集团（控股）公司、保险公司的董事、监事、高级管理人员和保险资产管理部门负责人进行监管谈话，要求其就保险资金运用情况、风险控制、内部管理等有关重大事项作出说明。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第七十条 保险集团（控股）公司、保险公司严重违反资金运用有关规定的，中国保监会可以责令调整负责人及有关管理人员。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第七十一条 保险集团（控股）公司、保险公司严重违反保险资金运用有关规定，被责令限期改正逾期未改正的，中国保监会可以决定选派有关人员组成整顿组，对公司进行整顿。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第七十二条 保险集团（控股）公司、保险公司违反本办法规定运用保险资金的，由中国保监会依法予以罚款、限制业务范围、责令停止接受新业务或者吊销业务许可证等行政处罚，对相关责任人员依法予以警告、罚款、撤销任职资格、禁止进入保险业等行政处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受到行政处罚的，保险集团（控股）公司、保险公司应当对相关责任人员进行内部责任追究。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第七十三条 保险资金运用的其他当事人在参与保险资金运用活动中，违反有关法律、行政法规和本办法规定的，中国保监会应当记录其不良行为，并将有关情况通报其行业主管部门；情节严重的，中国保监会可以通报保险集团（控股）公司、保险公司3年内不得与其从事相关业务，并商有关监管部门依法给予行政处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第七十四条 中国保监会工作人员滥用职权、玩忽职守，或者泄露所知悉的有关单位和人员的商业秘密的，依法追究法律责任。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auto"/>
          <w:sz w:val="24"/>
          <w:szCs w:val="24"/>
        </w:rPr>
      </w:pPr>
      <w:r>
        <w:rPr>
          <w:rStyle w:val="12"/>
          <w:rFonts w:hint="eastAsia" w:ascii="华文楷体" w:hAnsi="华文楷体" w:eastAsia="华文楷体" w:cs="华文楷体"/>
          <w:color w:val="auto"/>
          <w:sz w:val="24"/>
          <w:szCs w:val="24"/>
          <w:bdr w:val="none" w:color="auto" w:sz="0" w:space="0"/>
        </w:rPr>
        <w:t>第六章 附 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第七十五条 保险资产管理机构以及其他投资管理人管理运用保险资金参照本办法执行。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第七十六条 中国保监会对保险集团（控股）公司、自保公司以及其他类型保险机构的资金运用另有规定的，从其规定。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第七十七条 本办法由中国保监会负责解释和修订。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bdr w:val="none" w:color="auto" w:sz="0" w:space="0"/>
        </w:rPr>
        <w:t xml:space="preserve">第七十八条 本办法自2018年4月1日起施行。中国保监会2010年7月30日发布的《保险资金运用管理暂行办法》（保监会令2010年第9号）、2014年4月4日发布的《中国保险监督管理委员会关于修改〈保险资金运用管理暂行办法〉的决定》（保监会令2014年第3号）同时废止。 </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26" w:name="营业管理部党委理论学习中心组开展中央经济工作会议精神集中学习"/>
      <w:r>
        <w:rPr>
          <w:rFonts w:hint="eastAsia" w:ascii="华文中宋" w:hAnsi="华文中宋" w:eastAsia="华文中宋" w:cs="华文中宋"/>
          <w:b/>
          <w:bCs/>
          <w:sz w:val="24"/>
          <w:szCs w:val="24"/>
          <w:lang w:val="en-US" w:eastAsia="zh-CN"/>
        </w:rPr>
        <w:t>营业管理部党委理论学习中心组开展中央经济工作会议精神集中学习</w:t>
      </w:r>
    </w:p>
    <w:bookmarkEnd w:id="26"/>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来源：中国人民银行营业管理部（北京）</w:t>
      </w:r>
    </w:p>
    <w:p>
      <w:pPr>
        <w:spacing w:line="360" w:lineRule="auto"/>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2017年12月28日，营业管理部党委理论学习中心组开展中央经济工作会议精神集中学习。学习习近平总书记、李克强总理在会议上的重要讲话精神和人民日报相关社论，并交流心得体会。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心组认为，中央经济工作会议认真总结了党的十八大以来我国经济发展历程，明确了以新发展理念为主要内容的习近平新时代中国特色社会主义经济思想，指出我国经济已由高速增长阶段转向高质量发展阶段，明确了2018年经济工作的任务，提出今后3年重点抓好决胜全面建成小康社会的防范化解重大风险、精准脱贫、污染防治三大攻坚战，以及深化供给侧结构性改革,激发各类市场主体活力,加快建立多主体供应、多渠道保障、租购并举的住房制度等8项重点工作，对于我们统一思想、认清形势、明确方向，具有十分重大的指导意义。</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心组强调，明年是贯彻落实党的十九大精神的开局之年，是改革开放40周年，是决胜全面建成小康社会、实施“十三五”规划承上启下的关键一年。营业管理部要以习近平新时代中国特色社会主义思想为指导，深入领会、全面贯彻中央经济工作会议精神，继续坚持稳中求进工作总基调，把握服务于供给侧结构性改革这条主线，结合履职，从信贷政策、金融稳定、外汇管理、金融服务多维度服务实体经济，促进京津冀协同发展，稳定房地产市场，加强薄弱环节监管，守住不发生系统性金融风险的底线，促进首都经济金融持续健康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楷体" w:hAnsi="华文楷体" w:eastAsia="华文楷体" w:cs="华文楷体"/>
          <w:b w:val="0"/>
          <w:bCs w:val="0"/>
          <w:sz w:val="21"/>
          <w:szCs w:val="21"/>
          <w:lang w:val="en-US" w:eastAsia="zh-CN"/>
        </w:rPr>
      </w:pPr>
      <w:bookmarkStart w:id="27" w:name="北京银监局持续推进农村土地相关抵押贷款试点"/>
      <w:r>
        <w:rPr>
          <w:rFonts w:hint="eastAsia" w:ascii="华文中宋" w:hAnsi="华文中宋" w:eastAsia="华文中宋" w:cs="华文中宋"/>
          <w:b/>
          <w:bCs/>
          <w:sz w:val="24"/>
          <w:szCs w:val="24"/>
          <w:lang w:val="en-US" w:eastAsia="zh-CN"/>
        </w:rPr>
        <w:t>北京银监局持续推进农村土地相关抵押贷款试点</w:t>
      </w:r>
    </w:p>
    <w:bookmarkEnd w:id="27"/>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日期：2018年1月22日 来源：中国银监会 北京监管局</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年，北京市积极开展农村承包土地的经营权抵押贷款试点及农村集体经营性建设用地使用权抵押贷款试点。北京银监局认真贯彻落实党中央、银监会部署要求，指导银行业金融机构推进试点业务，在始终注重风险防控的前提下，支持辖内机构有序创新，提升金融服务质效。截至2017年9月末，北京辖内银行业金融机构为集体经营性建设用地入市试点发放的表内外融资余额为170.07亿元，较年初增长114.7%；北京辖内主要法人银行、试点地区村镇银行等银行积极参与农村承包土地的经营权抵押贷款试点，贷款余额1338.96万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8" w:name="中国迈进“轻现金社会”需破解金融信息安全难题"/>
      <w:r>
        <w:rPr>
          <w:rFonts w:hint="eastAsia" w:ascii="华文中宋" w:hAnsi="华文中宋" w:eastAsia="华文中宋" w:cs="华文中宋"/>
          <w:b/>
          <w:bCs/>
          <w:sz w:val="24"/>
          <w:szCs w:val="24"/>
          <w:lang w:val="en-US" w:eastAsia="zh-CN"/>
        </w:rPr>
        <w:t>中国迈进 “轻现金社会” 需破解金融信息安全难题</w:t>
      </w:r>
    </w:p>
    <w:bookmarkEnd w:id="28"/>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日期：2018年1月22日 来源：北京市金融工作局、人民日报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出门吃饭或者在街边买个煎饼果子，也能用手机扫二维码支付，甚至“刷脸”买单；海外“买买买”也可以用手机支付……刚刚过去的2017年，移动支付进入集中爆发期，仅在第三季度，中国第三方移动支付交易规模约达29.5万亿元。这一年，中国二维码支付有望突破9000亿元市场规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“中国已成为全球最大移动支付市场，并将引领世界。”国外咨询公司这样推测。可以预期的是，随着电子支付快速发展，现金支付在交易中的比重将不断降低，经济学家构想的“轻现金社会”正悄然而至。</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专家表示，轻现金社会给人们带来实实在在便利的同时，也对公民信息安全、支付习惯乃至国家金融安全等带来挑战。如何引导“轻现金社会”健康发展，成为亟待解决的问题。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全球榜首  好处多多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如今，在街头买一串糖葫芦也能扫码支付在中国已不是新闻。《中国二维码产业发展报告》显示，预计到2017年底，二维码支付有望突破9000亿元市场规模。另据互联网研究机构易观统计，2017年第三季度，中国第三方移动支付交易规模已达约29.5万亿元，同比大幅增长226.2%。而在仅仅数年前，这一数字还接近于零。</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最近，全球知名咨询公司麦肯锡在一份报告指出，中国已成为全球最大移动支付市场，2016年移动支付交易额相当于美国的11倍。而据调研公司益普索的一项问卷调查，26%的中国受访者表示出门只带不超过100元人民币的现金，14%的人已不再携带任何现金。</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随着非现金支付手段不断推广和应用，‘轻现金社会’正在形成。”中国人民大学重阳金融研究院高级研究员董希淼对本报记者表示，从上世纪80年代开始，中国政府已经开始推动在经济活动中减少现金使用、提高非现金支付结算比例。经过30多年发展，如今移动支付在降低社会交易成本，防范洗钱和腐败等方面作用明显，同时便利了民众生活，促进了经济发展，一个消费者、政府、企业都能从中受益的轻现金社会悄然而至。</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轻现金社会最显著的特点，是交易效率和速度大幅提升。一项测算表明，在使用现金交易的停车场，一辆车从到收费口到开出，人工找现金平均要用10秒钟，而采用无现金支付，则平均只要2秒钟，这是一种效率成数倍的提升。</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社科院金融研究所支付清算研究中心特约研究员赵鹞将轻现金社会的正面意义总结为5个方面：一是降低交易成本，提高资金使用效率。二是改善市场秩序，建立良好经济环境。三是改进金融服务，助力金融普惠。四是增进社会文明，推动经济社会转型。五是促进经济增长，增加社会就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国外分析人士表示，以微信、支付宝为代表的中国移动支付革命，和电子商务、共享出行等互联网经济结合，在短短数年时间内令“去现金化”获得了强大的自下而上发展动能。新技术令以往需要数十年时间才有可能实现的电子支付转型、普惠金融等目标，有可能在短期内加速实现。</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挑战凸显  谨慎应对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移动支付如今已成为一种世界性的时代趋势。与国外不同的是，海外发达经济体在“轻现金化”过程中，路径大都从纸币到信用卡再到移动支付，而信用卡普及率仍不高的中国，则直接进入了移动支付阶段。不过，对于这是否意味着中国移动支付实现了“弯道超车”，多数专家在接受本报采访时持谨慎态度。</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任何国家的金融工具与金融模式都与其习惯、文化、经济密切相关，各国情况不同，相关监管模式及监管制度也不同，因此不能照抄照搬。”中国政法大学互联网金融法律研究院院长、教授李爱君对本报记者说，纸币、信用卡和手机只是支付方式不同，而选择什么支付方式与各国公众习惯有关，同时存在路径依赖和黏性。</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随着轻现金社会到来，一些问题也逐渐凸显。董希淼认为，技术层面，二维码支付可能产生安全漏洞和隐患。市场层面，部分支付机构可能会挪用备付金或开展不正当竞争，扰乱市场秩序。合规层面，部分市场机构可能会违规收单等。对此，中国人民银行近期出台条码支付新规，实施支付机构客户备付金集中存管并提高缴存比例，以加强对支付清算市场的整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赵鹞认为，一些深层次问题仍待解决。例如，轻现金社会会对老年人、文盲、残障人士等弱势群体造成伤害，造成个人敏感信息泄露，不利于个体管理金融风险等。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其中金融信息安全备受关注。在“去现金化”程度已非常高的挪威，很多人认为，取消现金交易会侵犯消费者的隐私权和选择权，而且面临电子支付系统风险。此外，取消现金也不能杜绝金融犯罪。</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数字时代的金融安全不仅仅指资金安全，还包括金融秩序安全、信息安全、国家安全。”李爱君认为，金融支付媒介的目标是用户普遍认可，降低交易成本，支付方式是金融发展和社会选择的结果。因此，无论何种支付方式都要符合易携带、易操作、易储藏、易监管的要求，还要符合金融的安全性、流动效益性。</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移动支付发展过程中出现的“数字鸿沟”、“监管失控”“数据寡头”、“不当竞争”等不良倾向，董希淼认为，在轻现金社会推广过程中，相关监管部门应共同发挥作用，仅靠支付机构可能会“走偏”，这需要引起足够重视和警惕。</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“扫净屋子”  走向海外</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美元以上的大额纸币被废除，大额支付全部利用手机和银行卡完成；小额货币被铸造成硬币，将无限期存续下去。”在美国哈佛大学教授肯尼斯·罗格夫最近出版的《现金的诅咒》一书中，他这样描绘轻现金社会的未来。他同时认为，由于现金承载着政治、社会和文化意义，或许人类社会永远也无法摆脱纸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赵鹞在《无现金社会仍旧是开放式问题》一文中写到，一个国家的货币体系本质是公共品，现金和货币服务不能具有商业活动的排他性，任何个体也不能被剥夺使用现金和货币服务的权利。他提醒，轻现金社会看似技术进步的客观必然，但需要对现金和货币存有敬畏之心。</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不过，包括联合国在内的海内外机构，对轻现金社会到来充满期待。多家机构预测，信用卡、现金的式微不可避免，手机支付甚至生物识别支付将成为主流。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有专家认为，在数字经济时代，谁引领了金融科技技术和应用，谁就将引领金融的未来。如今在起跑线上，中国已经领先，应紧紧抓住这一历史机遇。总的来看，要迎接轻现金社会到来，亟须做好3方面工作。</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首先，“打扫干净屋子再请客”。应由中国人民银行牵头，商业银行、支付机构、清算组织等共同参与，进一步完善支付基础设施，如加快“网联”平台建设，推进和规范非银行支付机构发展。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其中，健全和优化社会信用体系十分重要。在海外，“轻现金化”得以迅速发展的一个重要原因，在于其健全的全民信用基础。例如，瑞典拥有建立在个人或企业信用基础上的金融消费体系。信用账单和个人身份证号相关联，只有信用记录良好的个人才能使用这种电子支付方式。个人一旦有过不良信用记录，将会处处碰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其次，加强知识普及。一方面，要通过宣传推广，让更多公众了解各种非现金支付结算方式的特点；另一方面，应加大对相关企业违法宣传推广行为的打击力度，尊重公众支付结算习惯，维护自主选择权。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要进一步推进非现金支付法律体系建设。董希淼表示，应加快《中国人民银行法》《人民币管理条例》《现金管理暂行条例》等修订工作，及时总结电子支付发展背景下人民币形态变化带来的新情况、新问题；加快立法步伐，补齐支付结算领域的法律短板。</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近年来，中国银行卡组织和支付机构不断走向世界，不仅让中国人在海外也能愉快地“扫一扫”，同时开始带动当地轻现金社会的形成。</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下一步，要深化与海外国家在支付监管政策方面的沟通，协助‘一带一路’国家升级支付服务，持续完善支付与金融市场基础设施，促进支付领域全方位互联互通；同时鼓励中国银行卡组织和支付机构抱团出海，进一步发挥中国银联的带头作用，提高格局和眼界，并尊重当地支付习惯，这样的话，路才能越走越宽。”董希淼说。</w:t>
      </w: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9" w:name="新经济对北京GDP贡献超三成"/>
      <w:r>
        <w:rPr>
          <w:rFonts w:hint="eastAsia" w:ascii="华文中宋" w:hAnsi="华文中宋" w:eastAsia="华文中宋" w:cs="华文中宋"/>
          <w:b/>
          <w:bCs/>
          <w:sz w:val="24"/>
          <w:szCs w:val="24"/>
          <w:lang w:val="en-US" w:eastAsia="zh-CN"/>
        </w:rPr>
        <w:t>新经济对北京GDP贡献超三成</w:t>
      </w:r>
    </w:p>
    <w:bookmarkEnd w:id="29"/>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日期：2018年1月22日 来源：北京市金融工作局、北京商报</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以新产业、新业态、新商业模式为代表的新经济产业继续成为北京经济增长的主要贡献力量之一。1月19日，北京市统计局公布数据显示，去年北京实现地区生产总值（GDP）28000.4亿元，比2016年增长6.7%，增速略低于2016年0.1个百分点。其中，新经济增长9.8%，在全市经济中的占比达32.4%，比重较上年稳步增长，发展势头强劲。</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GDP占比达32.4%</w:t>
      </w:r>
    </w:p>
    <w:p>
      <w:pPr>
        <w:spacing w:line="360" w:lineRule="auto"/>
        <w:ind w:firstLine="480" w:firstLineChars="200"/>
        <w:jc w:val="both"/>
        <w:rPr>
          <w:rFonts w:hint="eastAsia" w:ascii="华文楷体" w:hAnsi="华文楷体" w:eastAsia="华文楷体" w:cs="华文楷体"/>
          <w:b/>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去年北京经济动能显著增强，其中表现之一就是新经济带动作用进一步明晰”，北京市统计局副局长、新闻发言人庞江倩介绍，去年以新产业、新业态、新商业模式为代表的新经济快速发展，在GDP中的占比达32.4%，较2016年提高了0.2个百分点。其中，高技术产业增加值6387.3亿元，增长9.5%；战略性新兴产业增加值4531.3亿元，增长10.6%（二者有交叉）。</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与此同时，创新引领的作用继续增强，全市企业研发投入和产出都在稳步增长。数据显示，去年1-11月，中关村示范区规模以上企业研发经费支出增长17.6%，这个增速比上年提高了4.4个百分点。“而‘大众创业、万众创新’蓬勃发展，也有效激发了市场的活力和社会的创造力”，庞江倩指出，在去年全市新设立的企业中，科技服务业的企业占比达到36.3%，这个比重较上年提高了3个百分点，“另一方面，随着服务业扩大开放试点的深入推进，非公经济的市场活力也在增强，去年1-11月，服务业扩大开放的六大领域中，规模以上非公有企业收入增长是13.7%，这个速度快于六大领域整体增速6.6个百分点”。</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值得一提的是，北京经济发展向好，从投资结构也可见一斑。数据显示，去年符合北京经济发展方向的投资保持较高增长，比如租赁和商务服务业，信息传输、软件和信息技术服务业，旅游业投资分别增长120%、42.8%和23.8%。此外，北京基础设施的投资力度加大，重点投向交通、能源、园林绿化，不仅改善了城市环境，也优化了城市运行。</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“新经济”兼蓄并包</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所谓新经济，即“三新经济”，依照国家统计局此前给出的定义，是指新产业、新业态、新商业模式。2016年4月，国家统计局印发了《新产业、新业态、新商业模式专项统计报表制度》，开启新经济统计序幕，并率先在提质增效转型升级、工业战略性新兴产业等11个重点领域进行了探索。</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国务院总理李克强曾公开指出，“新经济”的覆盖面和内涵十分广泛，不仅指三产中的“互联网+”、物联网、云计算、电子商务等新兴产业和业态，也包括工业制造当中的智能制造、大规模的定制化生产等，还涉及到一产当中有利于推进适度规模经营的家庭农场、股份合作制，农村一、二、三产融合发展等等。</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首经贸大学产业经济研究所教授陈及看来，由于聚集了多所高等学校、科研院所和跨国公司，北京坐拥着丰厚的全球高精尖技术资源，因而在新兴业态发展方面具有突出的优势，“鉴于传统经济的逐渐收缩，可以说新经济已经成为了北京最大的经济增长极之一，也将通过外溢效应，对全国经济产生示范和导向性作用”。不过他也提醒，要促进新经济产业进一步发酵，北京仍需努力打造一个真正有利于市场公平竞争和资源自由进出配置的平台，例如继续减少审批手续，摒弃对不同产业及不同所有制经济的差别化对待等。</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居民收入“跑赢”GDP</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除了表现抢眼的新经济，去年北京经济运行还有两点，其中之一就是维持高速增长的居民收入。数据显示，去年北京居民人均可支配收入实际增长6.9%，比GDP快0.2个百分点，人均收入继续跑赢GDP增速，基本实现居民收入的增长和经济增长同步的目标。</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较好的居民收入得益于基本面的支撑、政策性的作用、新动力的注入”，国家统计局北京调查总队副总队长、新闻发言人邬春仙表示，去年全市经济总体向好，为居民工资性收入增长提供强有力支持，同时相关部门继续保持农民转移政策的扶持力度，号召企业积极安置本市居民就业，提供了社保补贴，这些补贴直接调动了企业安置就业的积极性。</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而在社会消费方面，数据显示，去年全市实现社会消费品零售额1.16万亿元，同比增长5.2%，其中限额以上批发零售企业实现网上零售额同比增长10.9%。具体到消费商品类型看，文化办公用品类商品实现零售额同比增长16.4%，拉动社会消费品零售额增长0.9个百分点；新能源汽车商品零售额同比增长15.3%，拉动社会消费品零售额增长0.1个百分点。</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与此同时，从建设和销售两端看，房地产市场也实现了平稳运行。数据显示，去年全市完成房地产开发投资3745.9亿元，比上年下降7.4%；商品房销售面积为875万平方米，比上年下降47.8%。对此，邬春仙表示，去年北京市住宅销售市场以“3·17新政”为分水岭，在新政发布后出现了量价齐跌或量减价跌，“全年住宅销售4.29万套，同比下降49.3%，月均销售3474套，不足上年的一半；对5-12月的价格统计发现，在新建商品住宅方面，这8个月的环比价格是四降四平，基本没有出现上升”。</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0" w:name="央行或严禁支付机构为虚拟货币交易服务监管再升级"/>
      <w:r>
        <w:rPr>
          <w:rFonts w:hint="eastAsia" w:ascii="华文中宋" w:hAnsi="华文中宋" w:eastAsia="华文中宋" w:cs="华文中宋"/>
          <w:b/>
          <w:bCs/>
          <w:sz w:val="24"/>
          <w:szCs w:val="24"/>
          <w:lang w:val="en-US" w:eastAsia="zh-CN"/>
        </w:rPr>
        <w:t>央行或严禁支付机构为虚拟货币交易服务 监管再升级</w:t>
      </w:r>
    </w:p>
    <w:bookmarkEnd w:id="30"/>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日期：2018年1月22日 来源：北京市金融工作局、中国经济网</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日前，有消息称中国人民银行营业管理部发布《关于开展为非法虚拟货币交易提供支付服务自查整改工作的通知》，要求辖内各法人支付机构自文件发布之日起在本单位及分支机构开展自查整改工作，严禁为虚拟货币交易提供服务，并采取有效措施防止支付通道用于虚拟货币交易。</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前，中国互联网金融协会曾发布关于防范变相代币发行融资(ICO)活动的风险提示，提示称，自去年10月份以来，一种“以矿机为核心发行虚拟数字资产”(IMO)的模式开始出现，发行的“虚拟数字资产”包括链克、流量币、BFC积分等，存在风险隐患，值得警惕。</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有专家认为，近期种种整顿措施的加码，或许意味着我国相关部门对虚拟货币发行、交易的清理整顿将再升级。</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打击非法集资、洗钱、诈骗等违法犯罪活动，维护金融市场的安全和稳定，我国政府一直坚持对虚拟货币市场保持严监管态势。早在去年9月份，中国人民银行等七部委联合发布的《关于防范代币发行融资风险的公告》中就明确指出，代币发行融资(ICO)行为涉嫌非法集资、非法发行证券以及非法发售代币票券等违法犯罪活动，任何组织和个人应立即停止从事ICO。</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在严监管之下，国内绝大部分比特币集中交易平台均宣告关闭，有关比特币的大规模二级市场逐渐淡出市场视线，大部分ICO项目完成清退工作。不过，有部分异化的ICO项目开始面向大众发行代币。</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变相代币发行融资兴起的同时，部分比特币交易平台通过合作、海外设立等关联方式在海外“死灰复燃”，以挂摘牌、点对点等方式继续提供比特币与人民币之间的“场外交易”。这类“场外交易”目前不受监管，无法保障资金安全，部分平台可能涉嫌虚构资金名目，面临法律风险。</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近期比特币价格也遭遇剧烈波动。据比特币交易平台Bitfinex报价显示，1月17日，比特币价格一度跌破10000美元关口，日内重挫近30%。和去年12月中旬一度逼近2万美元大关时相比，比特币已距离纪录最高点跌去逾40%，市值蒸发逾千亿美元，一些投资者损失惨重。</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基于以上诸多因素，市场人士分析，未来针对ICO、虚拟货币或将有更清晰完善的整顿措施落地。广大消费者和投资者应认清虚拟货币市场的本质，增强风险防范意识，理性投资，不要盲目跟风炒作。</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1" w:name="北京银行践行文化金融先行者创新助力文创企业发展"/>
      <w:r>
        <w:rPr>
          <w:rFonts w:hint="eastAsia" w:ascii="华文中宋" w:hAnsi="华文中宋" w:eastAsia="华文中宋" w:cs="华文中宋"/>
          <w:b/>
          <w:bCs/>
          <w:sz w:val="24"/>
          <w:szCs w:val="24"/>
          <w:lang w:val="en-US" w:eastAsia="zh-CN"/>
        </w:rPr>
        <w:t>北京银行践行文化金融先行者 创新助力文创企业发展</w:t>
      </w:r>
    </w:p>
    <w:bookmarkEnd w:id="31"/>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日期：2018年1月22日 来源：北京市金融工作局、华夏时报</w:t>
      </w: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这是信息的时代，更是变革的时代。</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在时代发展的浪潮中，北京银行将自身“服务地方经济、服务中小企业、服务市民百姓”市场定位与北京市全国“文化中心、科技创新中心”的发展定位紧密结合，用智慧与创新描绘文化金融的梦想蓝图。</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截至2017年6月末，北京银行文化金融贷款余额超过530亿元，累计发放贷款1500余亿元，支持5000余户文创企业实现长足发展。特别是北京地区，自有文化金融分类统计以来，北京银行文化金融贷款市场份额始终位居北京市第一。</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执着创新一路走来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作为文化金融的先行者，北京银行执着创新一路走来，用坚实的步履奏响文化金融的时代乐章。</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在总行层面，北京银行成立由主管行领导牵头的文创领导小组，总行小企业事业部作为全行文化金融工作推动部门，牵头负责文化金融业务管理、产品创新、特色支行建设、宣传推广、外部机构对接等工作。</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分行层面，成立由一把手牵头的文化金融小组，并建立“1+1+1+X”文创团队，即分行小企业部指定一名文创产品经理+一名审批中心文创审批人员+一名支行具有文创经验的客户经理+投行、零售等相关领域产品经理，共同构成分行文创支撑小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支行层面，北京银行相继在全国成立琉璃厂、中轴路、西单、月坛、朝外等15家文化创意特色支行；在国家文化产业创新实验区建立大望路、红星两家文创服务中心。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同时，北京银行深入文化产业创新前沿，建立银行系孵化器——创客中心，实现文创企业“创业孵化+股权投资+债权融资”等一体化服务。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不仅如此，北京银行还创新多维度创意贷产品体系。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一是持续创新融资类产品。积极打通文创企业融资通道，陆续出台“软件贷”、“智权贷”、“文创信保贷”、“文创普惠贷”等特色信贷产品，满足不同行业、不同发展阶段文创企业的融资需求。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二是股债结合投贷联动。作为全国首批投贷联动试点银行，北京银行加大对文创企业支持力度，推出“投贷通”品牌，通过认股权、股权直投等模式，以“股权、债权”双通道支持文创企业发展。</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持续打造全面金融服务。为更加贴合文创产业发展趋势，满足文创企业日益多样化的融资需求，北京银行突破单一贷款产品模式，为文创企业提供中小企业集合票据、产业基金、现金管理、理财、债券、私人银行等一揽子综合化金融服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比如，北京银行承销国内首只文化创意题材集合票据“石景山区文化创意中小企业2010年度第一期集合票据”；作为优先级LP投资2亿元用于某影视企业设立的影视投资基金；为某演出公司成立体育赛事基金，并将该笔业务对接为国内首只附赠演艺票务消费权益的银行理财产品，成为国内银行理财产品附加增值服务的重大创新。</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此外，北京银行创新差异化风险管理体系，紧随文创产业发展前沿，实时了解产业发展特点及趋势，出台《文化金融业务营销与管理指引》，指导客户经理为企业制定更加专业的融资方案。</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依据客户不同信用等级进行差异授权，在总行、分行层面设置专职审批人员，提高审批效率；在琉璃厂支行挂牌文创信贷工厂，首创业内首家围绕小微文创企业的信贷工厂模式，借鉴工厂流水线的操作方式，按照“批量化营销、标准化操作、差异化贷后、特色化激励”的核心要求，对文创企业开展信贷服务，缩短审批时间，提高审批效率。</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创新多层次文创平台</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上市十年来，北京银行先后与北京市文化创意产业促进中心、北京市文化局、北京市新闻出版广电局、北京市文资办、国家文化产业创新实验区等文创主管部门建立战略合作关系；与文投集团及下属文担、文租开展全面业务合作；与动漫游戏产业联盟、国际版权交易中心等协会组织搭建合作渠道、成为国家文化部文化产业投融资公共服务平台参与银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可以看到，北京银行从北京走向全国，在天津、上海、西安、深圳、杭州、长沙、南京、济南、南昌、石家庄、乌鲁木齐、无锡等地播种希望，让“创意贷”的品牌之花绚烂绽放。北京银行正在打造一个又一个的战略高地，开启“文化创新投融资”的时代新纪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行相继支持博纳影业、新丽传媒、华录百纳、光线传媒、儒意欣欣、山东影视、春秋时代、欢瑞世纪、春天融和、欢乐源泉、盟将威影视等高成长影视企业，打造出电影《建军大业》、《战狼２》、《湄公河行动》、《摔跤吧！爸爸》、《三生三世十里桃花》；电视剧《人民的名义》、《我的前半生》、《大军师司马懿之军师联盟》、《琅琊榜》、《欢乐颂》、《伪装者》、《步步惊心》、《北京遇上西雅图》、《黄金时代》、《白鹿原》、《辣妈正传》、《北京爱情故事》以及话剧《战马》等优秀作品；为万达电影院线、耀莱院线、大地院线、橙天嘉禾影城提供一揽子金融服务，支持其院线建设；服务凯撒旅游、众信旅游、中青旅、宋城演艺、华侨城集团、上海童梦等旅游企业，支持古北水镇、南京夫子庙文化旅游、鄱阳湖国家湿地公园、江西龙虎山旅游等旅游项目。</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助力中央新影动漫文化城有限公司、天津画国人、完美世界、昆仑万维、每日视界等动漫游戏企业；为开心麻花剧场演出、春秋永乐演唱会筹办、微影时代线上票务系统提供融资服务；支持新华书店、时尚杂志、雨枫书馆、磨铁图书、中文在线、掌阅等出版行业企业转型升级；保护传统文化，为保利艺术中心、保利国际拍卖等提供一揽子艺术品交易服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服务文化金融“排头兵”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作为国内最早介入文化产业的金融机构之一，北京银行首家将文化金融提升至战略定位、首家针对文化创意企业推出专属产品“创意贷”、首家创新版权质押打包贷款模式、承销国内首只文化创意题材集合票据、首家探索推出普惠文创产品“文创普惠贷”，打造了文创领域的多个“第一”。</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截至2017年3月末，北京银行文化创意贷款余额497亿元，累计为全国近4000家文创企业提供超1400亿元资金支持，市场份额在北京地区连续多年位居第一，成为国内推出产品最早、小微贷款最多、支持项目最全的文化金融“排头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北京银行更是凭借文化金融的亮丽业绩荣获2012年人民银行营管部文化金融服务先进单位、“文化金融产品创新先进单位称号”；连续四年（2012-2015年）获得人行营管部信贷政策导向效果评估一等奖。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值得一提的是，2006年，北京银行向北京市委市政府递交《构建北京文化创意产业发展的金融支持体系研究》课题，就此开启金融支持文化产业探索之路。</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2007年，北京银行率先与北京市文化创意产业促进中心签订战略合作协议，每年为文化创意企业贷款提供50亿元专项授信额度。2008年，以14部电视剧版权质押方式为华谊兄弟提供1亿元打包贷款，开创版权质押历史先河；创新推出“创意贷”，涵盖了知识产权、供应链融资、并购贷款、集合票据、外汇、理财、现金管理等多个领域。</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2010年，北京银行文化金融向行业纵深发展，相继与动漫游戏产业联盟、国际版权交易中心等签约；成为国家文化部文化产业投融资公共服务平台参与行之一，支持国家艺术院团优秀剧目展演活动。</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2014年，与北京市文资办签署战略合作协议。2016年，北京市新闻出版广电局评价“北京银行是支持文化创意产业最早、创新最多、关注最久的银行”，并授予北京银行“北京影视出版产业最佳服务银行”。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北京银行通过“创意贷”立足北京，走向全国，结合各地政策、市场及文创客户需求，逐渐在全国复制推广，形成了本地化文化金融服务特色。</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天津分行设立天津地区银行业唯一一家专业化的创意产业金融服务中心；上海分行成为上海市广播影视制作业行业协会首家银行理事单位，且合作至今；南京分行被南京市委、市政府正式列入首批“南京市文化银行”，并首创艺术品融资“艺拍得”、“艺购得”产品；济南分行携手荣宝斋打造艺术品银行；西安分行积极服务“一带一路”战略，为西安曲江文化控股有限公司提供33.25亿元资金支持；长沙分行参加湖南省文化产业与金融业合作对接会，并与常德文旅集团签署战略合作协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南昌分行助梦江西龙虎山旅游产业腾飞；石家庄分行支持西柏坡柏里水乡打造生态、低碳、智慧型国际旅游度假区；深圳分行与深圳市知识产权局、华强集团等积极合作；杭州分行支持本土文化企业宋城集团，累放7.9亿元；乌鲁木齐分行与乌鲁木齐高新技术融资担保有限公司签署全面战略合作协议，提供授信10亿元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2" w:name="思想再解放改革再深入工作再抓实推动全面深化改革在新起点上实现新突破"/>
      <w:r>
        <w:rPr>
          <w:rFonts w:hint="eastAsia" w:ascii="华文中宋" w:hAnsi="华文中宋" w:eastAsia="华文中宋" w:cs="华文中宋"/>
          <w:b/>
          <w:bCs/>
          <w:sz w:val="24"/>
          <w:szCs w:val="24"/>
          <w:lang w:val="en-US" w:eastAsia="zh-CN"/>
        </w:rPr>
        <w:t>思想再解放 改革再深入 工作再抓实推动全面深化改革</w:t>
      </w:r>
    </w:p>
    <w:p>
      <w:pPr>
        <w:spacing w:line="360" w:lineRule="auto"/>
        <w:ind w:firstLine="480" w:firstLineChars="200"/>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在新起点上实现新突破</w:t>
      </w:r>
    </w:p>
    <w:bookmarkEnd w:id="32"/>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来源：北京市金融工作局、新华社</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共中央总书记、国家主席、中央军委主席、中央全面深化改革领导小组组长习近平1月23日下午主持召开中央全面深化改革领导小组第二次会议并发表重要讲话。他强调，2018年是贯彻党的十九大精神的开局之年，也是改革开放40周年，做好改革工作意义重大。要弘扬改革创新精神，推动思想再解放改革再深入工作再抓实，凝聚起全面深化改革的强大力量，在新起点上实现新突破。</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李克强、张高丽、汪洋、王沪宁出席会议。</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会议审议通过了《中央有关部门贯彻实施党的十九大〈报告〉重要改革举措分工方案》、《中央全面深化改革领导小组2018年工作要点》、《中央全面深化改革领导小组2017年工作总结报告》。</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审议通过了《关于推进社会公益事业建设领域政府信息公开的意见》、《关于提高技术工人待遇的意见》、《关于建立城乡居民基本养老保险待遇确定和基础养老金正常调整机制的指导意见》、《积极牵头组织国际大科学计划和大科学工程方案》、《关于推进孔子学院改革发展的指导意见》、《关于建立“一带一路”争端解决机制和机构的意见》、《关于改革完善仿制药供应保障及使用政策的若干意见》、《科学数据管理办法》、《知识产权对外转让有关工作办法（试行）》、《地方党政领导干部安全生产责任制规定》。会议还审议了《浙江省“最多跑一次”改革调研报告》。</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推进社会公益事业建设领域政府信息公开，要准确把握社会公益事业建设规律和特点，加大信息公开力度，明确公开重点，细化公开内容，增强公开实效，提升社会公益事业透明度，推动社会公益资源配置更加公平公正，确保社会公益事业公益属性，维护社会公益事业公信力。</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提高技术工人待遇，要坚持全心全意依靠工人阶级的方针，发挥政府、企业、社会协同作用，完善技术工人培养、评价、使用、激励、保障等措施，实现技高者多得、多劳者多得，增强技术工人职业荣誉感、自豪感、获得感，激发技术工人积极性、主动性、创造性。</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建立城乡居民基本养老保险待遇确定和基础养老金正常调整机制，要按照兜底线、织密网、建机制的要求，建立激励约束有效、筹资权责清晰、保障水平适度的待遇确定和基础养老金正常调整机制，推动城乡居民基本养老保险待遇水平随经济发展逐步提高，确保参保居民共享经济社会发展成果。</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牵头组织国际大科学计划和大科学工程，要按照国家创新驱动发展战略要求，以全球视野谋划科技开放合作，聚焦国际科技界普遍关注、对人类社会发展和科技进步影响深远的研究领域，集聚国内外优秀科技力量，量力而行、分步推进，形成一批具有国际影响力的标志性科研成果，提升我国战略前沿领域创新能力和国际影响力。</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推进孔子学院改革发展，要围绕建设中国特色社会主义文化强国，服务中国特色大国外交，深化改革创新，完善体制机制，优化分布结构，加强力量建设，提高办学质量，使之成为中外人文交流的重要力量。</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建立“一带一路”争端解决机制和机构，要坚持共商共建共享原则，依托我国现有司法、仲裁和调解机构，吸收、整合国内外法律服务资源，建立诉讼、调解、仲裁有效衔接的多元化纠纷解决机制，依法妥善化解“一带一路”商贸和投资争端，平等保护中外当事人合法权益，营造稳定、公平、透明的法治化营商环境。</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改革完善仿制药供应保障及使用政策，要从群众需求出发，把临床必需、疗效确切、供应短缺、防治重大传染病和罕见病、处置突发公共卫生事件、儿童用药等作为重点，促进仿制药研发创新，提升质量疗效，提高药品供应保障能力，更好保障广大人民群众用药需求。</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加强和规范科学数据管理，要适应大数据发展形势，积极推进科学数据资源开发利用和开放共享，加强重要数据基础设施安全保护，依法确定数据安全等级和开放条件，建立数据共享和对外交流的安全审查机制，为政府决策、公共安全、国防建设、科学研究提供有力支撑。</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知识产权对外转让，要坚持总体国家安全观，依据现有法律法规和工作机制，对单位或者个人将其境内知识产权转让给外国企业、个人或者其他组织，严格审查范围、审查内容、审查机制，加强对涉及国家安全的知识产权对外转让行为的严格管理。</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实行地方党政领导干部安全生产责任制，要坚持党政同责、一岗双责、齐抓共管、失职追责，牢固树立发展决不能以牺牲安全为代价的红线意识，明确地方党政领导干部主要安全生产职责，综合运用巡查督查、考核考察、激励惩戒等措施，强化地方各级党政领导干部“促一方发展、保一方平安”的政治责任。</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指出，党的十八大以来，浙江等地针对群众反映突出的办事难、投诉举报难等问题，从优化审批流程入手，推动实施“最多跑一次”改革，取得积极成效。各地区要结合实际，善于从基层和群众关心的问题上找出路、找办法，加大体制机制创新，以实际行动增强群众对改革的获得感。</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2018年是站在新的历史起点上接力探索、接续奋进的关键之年，要全面贯彻党的十九大精神，以习近平新时代中国特色社会主义思想为指导，统筹推进党的十八大以来部署的改革举措和党的十九大部署的改革任务，更加注重改革的系统性、整体性、协同性，着力补齐重大制度短板，着力抓好改革任务落实，着力巩固拓展改革成果，着力提升人民群众获得感，不断将改革推深做实，推进基础性关键领域改革取得实质性成果。</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改革要突出重点，攻克难点，在破除各方面体制机制弊端、调整深层次利益格局上再拿下一些硬任务，重点推进国企国资、垄断行业、产权保护、财税金融、乡村振兴、社会保障、对外开放、生态文明等关键领域改革。要提高政治站位，勇于推进改革，敢于自我革命。要结合实际，实事求是，多从基层和群众关心的问题上找突破口，多推有地方特点的改革。要鼓励基层创新，继续发扬敢闯敢试、敢为人先的精神，推动形成更加浓厚、更有活力的改革创新氛围。</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要拿出实实在在的举措克服形式主义问题。主要负责同志要带好头，把责任和工作抓实，越是难度大、见效慢的越要抓在手上，不弃微末，不舍寸功。要把调查研究突出出来，把存在的矛盾和困难摸清摸透，把工作做实做深做好。改革督察要扩点拓面、究根探底，既要听其言，也要观其行、查其果。对不作为的，要抓住典型，严肃问责。</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中央全面深化改革领导小组成员出席，有关中央领导同志以及中央和国家机关有关部门负责同志列席会议。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3" w:name="证监会高层“三提”支持创新企业"/>
      <w:r>
        <w:rPr>
          <w:rFonts w:hint="eastAsia" w:ascii="华文中宋" w:hAnsi="华文中宋" w:eastAsia="华文中宋" w:cs="华文中宋"/>
          <w:b/>
          <w:bCs/>
          <w:sz w:val="24"/>
          <w:szCs w:val="24"/>
          <w:lang w:val="en-US" w:eastAsia="zh-CN"/>
        </w:rPr>
        <w:t>证监会高层“三提”支持创新企业</w:t>
      </w:r>
    </w:p>
    <w:bookmarkEnd w:id="33"/>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来源：北京市金融工作局、中国经济网</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期，证监会高层三次公开表示增强资本市场对创新企业、高新技术企业和新经济新产业的服务能力，同时深交所相关负责人也提出推动优化新股发行上市条件，支持具有发展潜力大的创新创业企业上市，扩大创业板的包容性。</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证监会主席助理张慎峰19日在出席由证券日报社主办的第一届新时代资本论坛(2018)时表示，2018年将加快推进发行制度、并购重组制度改革，着力增强对科技创新企业的服务能力，加大对符合国家发展战略，具有核心竞争力的高新技术企业和新经济新产业的支持力度。这是证监会官员近期第三次提及增强对创新企业的服务能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此之前，证监会副主席姜洋在出席第十一届亚洲金融论坛时强调，加大对符合国家发展战略、具有核心竞争力的高新技术企业和新经济新产业的支持力度。另外，张慎峰近日带队赴北京市中关村科技园区调研座谈时，听取了园区内互联网、人工智能、生物医药等行业的十多家企业对资本市场更好服务创新创业的意见建议。张慎峰表示“把好企业留在国内、让好企业尽快上市”。</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多年呼吁留住创新创业企业之后，2018年创业板改革或将取得实质性进展。深交所副总经理彭明在第一届新时代资本论坛(2018)上也提到推动优化新股发行上市条件，支持创新创业企业上市，扩大创业板的包容性。</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有业内人士向记者表示，近期证监会以及深交所层面的表态逻辑一致，2018年创业板改革值得期待。</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人民大学副校长、中国人民大学金融与证券研究所所长吴晓求近日表示，我国资本市场需要进行结构性的改革和调整，其中包括调整企业上市标准。“经济结构发生了变化，《证券法》在发行标准上需要做修改，修改太慢，很多好企业就会流失。”</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记者梳理，自2009年创业板设立以来，创业板上市标准已经进行了两次修订。目前，创业板发行上市有两套财务准入标准，即最近两年连续盈利，最近两年净利润累计不少于1000万元；或者最近一年盈利，最近一年营业收入不少于5000万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4" w:name="央行放宽个人Ⅲ类账户使用限制"/>
      <w:r>
        <w:rPr>
          <w:rFonts w:hint="eastAsia" w:ascii="华文中宋" w:hAnsi="华文中宋" w:eastAsia="华文中宋" w:cs="华文中宋"/>
          <w:b/>
          <w:bCs/>
          <w:sz w:val="24"/>
          <w:szCs w:val="24"/>
          <w:lang w:val="en-US" w:eastAsia="zh-CN"/>
        </w:rPr>
        <w:t>央行放宽个人Ⅲ类账户使用限制</w:t>
      </w:r>
    </w:p>
    <w:bookmarkEnd w:id="34"/>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来源：北京市金融工作局、经济参考报</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有效实施个人银行账户分类管理、优化个人银行账户服务，央行近日印发《关于改进个人银行账户分类管理有关事项的通知》（以下简称《通知》），旨在进一步便利Ⅱ、Ⅲ类户开立和使用着手，重点推广应用Ⅲ类户，推动Ⅱ、Ⅲ类户成为个人办理网上支付、移动支付等小额消费缴费业务的主要渠道。</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央行于2015年12月首次提出对个人银行账户实施分类管理制度，将个人银行结算账户分为Ⅰ、Ⅱ、Ⅲ类银行结算账户（以下简称Ⅰ、Ⅱ、Ⅲ类户），根据实 名程度和账户定位，赋予不同类别账户不同功能。在该制度实施之后至今，银行和社会公众开立Ⅱ、Ⅲ类户的意愿较为强烈，开户数量和业务办理快速增长。不过，也有业内人士提出Ⅱ、Ⅲ类户开户和使用的便利性仍有待提升。</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此，《通知》明确个人通过采用数字证书或电子签名等安全可靠验证方式登录电子渠道开立Ⅱ、Ⅲ类户时，如绑定本人本银行Ⅰ类户或者信用卡账户开立的，且确认个人身份资料或信息未发生变化的，开立Ⅱ、Ⅲ类户时无需个人填写身份信息、出示身份证件等，在有效落实账户实名制要求的同时，大幅提升开户体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外，账户使用方面，在满足反洗钱、反诈骗要求的前提下，放宽Ⅲ类户的使用限制。一是非面对面线上开立Ⅲ类户能够接受非绑定账户入金，以满足个人之间小额收付款、发放红包、与个人支付账户对接、银行或商户小额返现奖励等场景需求。二是Ⅲ类户账户余额从1000元提升为2000元。三是允许银行向Ⅲ类户发放本行小额消费贷款并通过Ⅲ类户还款，鼓励银行基于Ⅲ类户提供更多元化的产品设计和功能组合。四是将Ⅲ类户消费和缴费支付、非绑定账户资金转出等出金年累计限额从原10万元下调为5万元，更好地平衡安全和效率的关系。</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通知》还要求，国有商业银行、股份制商业银行等应于2018年6月底前实现本银行柜面和网上银行、手机银行、直销银行、远程视频柜员机和智能柜员机等电子渠道办理个人Ⅱ、Ⅲ类户开立等业务，其他银行则应在2018年底前实现。届时，个人可根据自身使用习惯，在多种开户渠道中选择便捷渠道开立Ⅱ、Ⅲ类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35" w:name="京津冀协同发展将有新突破"/>
      <w:r>
        <w:rPr>
          <w:rFonts w:hint="eastAsia" w:ascii="华文中宋" w:hAnsi="华文中宋" w:eastAsia="华文中宋" w:cs="华文中宋"/>
          <w:b/>
          <w:bCs/>
          <w:sz w:val="24"/>
          <w:szCs w:val="24"/>
          <w:lang w:val="en-US" w:eastAsia="zh-CN"/>
        </w:rPr>
        <w:t>京津冀协同发展将有新突破</w:t>
      </w:r>
    </w:p>
    <w:bookmarkEnd w:id="35"/>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来源：北京市金融工作局、北京日报</w:t>
      </w:r>
    </w:p>
    <w:p>
      <w:pPr>
        <w:spacing w:line="360" w:lineRule="auto"/>
        <w:jc w:val="left"/>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今年，本市将启动实现京津冀协同发展中期目标，政策制定、引导和项目落地等方面都将有新突破。市发改委主任、市协同办主任谈绪祥近日做客“市民对话一把手”时做出了如上表示。</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京企对津冀认缴出资超5600亿元</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谈绪祥表示，京津冀协同发展战略实施以来，走过了非常不平凡的3年。对北京来讲，老百姓获得了更多青山、绿水、好空气，生活品质得到了提高。北京对天津、对河北的投资大幅跃升，3年多来，认缴出资额累计超过5600亿元。</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将是实现京津冀协同发展中期目标的起步之年，本市又有哪些“任务清单”？谈绪祥说，市协同办已经研究制定了本市推进京津冀协同发展2018年至2020年行动计划及2018年工作要点。市发改委将研究建立系统的鼓励引导机制和保障政策，使疏解从产业平移层次再升级。本市今年将筹备一批有利于长远发展、有利于格局形成、有利于大疏解并最终落地的大项目，推动京津冀协同发展向纵深迈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作为京津冀协同发展4个战略合作功能区之一，总面积约150平方公里的北京新机场临空经济区正在加快推进。目前，空间规划和产业规划已编制完成，谈绪祥表示，下一步将做好临空经济区起步区控规编制和城市设计，启动临空经济区起步区建设。</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雄安共建合作全面落实</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作为“两翼”之一，雄安新区的建设进展也牵动着北京市民的心。在节目中，谈绪祥表示，共建雄安新区中关村科技园协议已经签署。今年力争开工建设支持雄安新区新建的3所学校和1所医院，实现对口合作的4所学校挂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在教育对接方面，北京第八十中学、中关村第三小学、朝阳实验小学、六一幼儿园将分别对口支持安新县第二中学、容城县小学、雄县第二小学和雄县幼儿园。</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在产业合作方面，本市将加快推进雄安中关村科技产业基地和新兴产业孵化器建设，谋划推动一批新政策在雄安新区中关村科技园先行先试，引导以中关村为代表的首都科技创新要素资源到雄安新区落地。</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在基础设施建设方面，加快推进京港台高铁京雄段、京雄城际、北京至雄安高速公路建设，实现两地交通路网直连直通。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市民身边新增5个“颐和园”</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疏解方面，被老百姓叫成“疏整促”的专项行动将继续稳步推进。去年拆违腾退的土地中，将有超过3200公顷用于“留白增绿”，相当于大半个东城区的面积。谈绪祥表示，今年本市要实现拆后还绿1600公顷以上的目标，其面积相当于5个颐和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同时，本市将再建设一批城市森林公园、市民身边的“口袋公园”，让城市有更多的绿色空间。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表示，2018年，专项行动要继续在提升上下功夫，坚持疏解整治与优化提升同步推进。对老百姓来说，全年本市将新增1400个便民商业网点；市政府固定资产投资将继续支持便民设施建设，今年将特别对包含蔬菜店、主食厨房、早餐、理发等多功能的便民服务综合体加大支持和引导，促进便民服务品优价稳、安全便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6" w:name="围绕防范金融风险推进公开"/>
      <w:r>
        <w:rPr>
          <w:rFonts w:hint="eastAsia" w:ascii="华文中宋" w:hAnsi="华文中宋" w:eastAsia="华文中宋" w:cs="华文中宋"/>
          <w:b/>
          <w:bCs/>
          <w:sz w:val="24"/>
          <w:szCs w:val="24"/>
          <w:lang w:val="en-US" w:eastAsia="zh-CN"/>
        </w:rPr>
        <w:t>围绕防范金融风险推进公开</w:t>
      </w:r>
    </w:p>
    <w:bookmarkEnd w:id="36"/>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日期：2018年1月25日 来源：北京市金融工作局</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围绕金融运行形势分析推进公开。深化形势分析会商机制，召开加强区域金融运行统计监测的专项会议，通过信息化手段加强数据共享，每季度汇总全市金融各业态的统计数据，对全市经济金融运行整体情况进行研判，主动公开全市金融运行与金融工作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做好交易场所、融资性担保公司、区域性股权市场监管工作，及时发布风险提示。（1）围绕“北京市清理整顿各类交易场所回头看”专项工作开展网上建议征集，公布三批北京市清理整顿各类交易场所“回头看”工作涉及企业名单，对36家违规公司向社会进行风险提示。（2）累计注销26家公司的融资性担保机构经营许可证，并督促相关公司做好后续风险防范工作，及时公示已注销融担许可证的公司名称。（3）对未经批准在京开展业务的区域性股权市场及时利用官网、微信、微博等渠道进行风险提示，针对本市企业运用区域性股权市场相关政策进行提示，保护企业合法权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围绕热点主题、重点工作加强解读引导。牵头做好构建首都金融体系的政策制定及解读工作，发布北京加大构建绿色金融体系力度等政策解读。开设“打击非法集资专项整治行动”与“投资者教育”专栏，普及金融安全知识，加大风险警示教育，提醒消费者防范非法集资、电信诈骗、银行卡盗刷风险，提高金融消费者防范和维权意识，保护投资者权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7" w:name="北京市十五届人大一次会议隆重开幕"/>
      <w:r>
        <w:rPr>
          <w:rFonts w:hint="eastAsia" w:ascii="华文中宋" w:hAnsi="华文中宋" w:eastAsia="华文中宋" w:cs="华文中宋"/>
          <w:b/>
          <w:bCs/>
          <w:sz w:val="24"/>
          <w:szCs w:val="24"/>
          <w:lang w:val="en-US" w:eastAsia="zh-CN"/>
        </w:rPr>
        <w:t>北京市十五届人大一次会议隆重开幕</w:t>
      </w:r>
    </w:p>
    <w:bookmarkEnd w:id="37"/>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日期：2018年1月25日 来源：北京市金融工作局、北京日报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昨天上午，北京市第十五届人民代表大会第一次会议在北京会议中心隆重开幕。</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主席团常务主席、大会执行主席李伟主持会议。代市长陈吉宁作政府工作报告。中共中央政治局委员、市委书记蔡奇出席。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大会执行主席吉林、牛有成、柳纪纲、刘伟、庞丽娟、闫傲霜、叶青、刘玉芳、刘振东、陆杰华、陈子云、常纪文、褚玉梅在主席台前排就座。</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中共中央政治局原委员、北京市委原书记刘淇，中共中央政治局原委员、北京市委原书记郭金龙，全国人大常委会副秘书长韩晓武到会。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陈吉宁的报告分三个部分：一、过去五年工作回顾；二、今后五年工作思路和2018年重点任务；三、全面加强政府自身建设。</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吉宁说，过去五年，是北京发展历史上极不平凡的五年。习近平总书记两次视察北京并发表重要讲话，明确了北京全国政治中心、文化中心、国际交往中心、科技创新中心的城市战略定位，为我们“建设一个什么样的首都，怎样建设首都”统一了思想、深化了认识、指明了方向，为我们建设好伟大社会主义祖国的首都、迈向中华民族伟大复兴的大国首都、国际一流的和谐宜居之都绘就了宏伟蓝图，提供了基本依据。五年来，北京市坚持以习近平新时代中国特色社会主义思想为指引，坚持稳中求进工作总基调，牢固树立新发展理念，深入落实首都城市战略定位，大力推进京津冀协同发展，加快疏功能、转方式、治环境、补短板、促协同、惠民生，城市发展深刻转型，京津冀协同发展取得阶段性成效，科技创新能力和经济发展质量稳步提升，改革开放取得新突破，“大城市病”治理力度显著加大，人民生活持续改善，首都现代化建设取得了重大进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吉宁说，我们清醒地认识到，我国社会主要矛盾已经发生变化，与首都承担的职责使命相比，与城市总体规划提出的目标要求相比，与人民对美好生活的向往相比，发展还面临许多挑战，工作也存在诸多不足。我们一定要保持清醒头脑，勇于直面问题，以对人民高度负责的担当精神，在今后工作中切实加以解决。</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关于今后五年和2018年工作，陈吉宁说，今后五年是实现“两个一百年”奋斗目标的历史交汇期。我们要以高度的政治责任感和历史使命感，全面贯彻党的十九大精神，认真落实市第十二次党代会的决策部署，推动习近平新时代中国特色社会主义思想在京华大地落地生根，进一步形成生动实践。在今后工作中，要着重把握好六个必须：必须牢固树立政治意识、大局意识、核心意识、看齐意识，把维护党中央权威和集中统一领导作为最高政治原则和根本政治规矩来执行；必须坚持稳中求进工作总基调，处理好“稳”和“进”的辩证统一关系，把握好工作节奏和力度；必须深入落实首都城市战略定位，着力加强“四个中心”功能建设，提高“四个服务”水平；必须推动高质量发展，牢固树立新发展理念，强化创新驱动，加快构建高精尖经济结构，着力破解“大城市病”，把高质量要求体现在城市发展的各个方面；必须大力推动改革开放，激发市场活力和创造力，提高对外开放服务水平；必须坚持以人民为中心，发挥人民主体作用，积极回应群众关切，努力解决广大市民关心的突出问题，增强群众获得感幸福感安全感。</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吉宁说，今年全市经济社会发展主要预期目标是：地区生产总值增长6.5%左右；一般公共预算收入增长6.5%左右；居民消费价格涨幅控制在3%以内；城镇调查失业率控制在5%以内；全市居民人均可支配收入增长与经济增长同步；万元地区生产总值能耗、二氧化碳排放分别下降2.5%和3%左右，万元地区生产总值水耗下降3%左右，细颗粒物年均浓度力争继续下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吉宁说，2018年要着力做好八个方面重点工作：全面实施城市总体规划，优化提升“四个中心”功能。坚定有序推进疏解整治促提升专项行动，提升城市品质、改善人居环境。深入推进京津冀协同发展，提高城乡区域协调发展水平。全力推进全国科技创新中心建设，加快构建高精尖经济结构。加强城市精细化管理，下大气力治理“大城市病”。进一步坚定文化自信，把全国文化中心建设好发展好。持续保障和改善民生，切实增强人民群众获得感幸福感安全感。大力推进改革开放，构筑体制机制新优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关于全面加强政府自身建设，陈吉宁强调，新时代要有新气象、新作为，必须有新视野、新担当。要提高政治站位，加强依法行政，增强工作本领，持续改进作风，建设廉洁政府，不忘初心、牢记使命，锐意进取、埋头苦干，加快建设国际一流的和谐宜居之都，奋力谱写实现“两个一百年”奋斗目标和中华民族伟大复兴中国梦的北京篇章！</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会议审查了市人民政府关于北京市2017年国民经济和社会发展计划执行情况与2018年国民经济和社会发展计划草案的报告；审查了市人民政府关于北京市2017年预算执行情况和2018年预算草案的报告。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出席北京市政协十三届一次会议的全体委员，部分市级老同志，中共北京市委、市人大常委会、市人民政府组成部门及有关部门、市监察委员会、市高级人民法院及各中院、北京知识产权法院、市人民检察院及各分院、各人民团体、部分市属企事业单位的负责同志到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8" w:name="全方位成就深层次变革"/>
      <w:r>
        <w:rPr>
          <w:rFonts w:hint="eastAsia" w:ascii="华文中宋" w:hAnsi="华文中宋" w:eastAsia="华文中宋" w:cs="华文中宋"/>
          <w:b/>
          <w:bCs/>
          <w:sz w:val="24"/>
          <w:szCs w:val="24"/>
          <w:lang w:val="en-US" w:eastAsia="zh-CN"/>
        </w:rPr>
        <w:t>全方位成就 深层次变革</w:t>
      </w:r>
    </w:p>
    <w:bookmarkEnd w:id="38"/>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日期：2018年1月25日 来源：北京市金融工作局、北京日报</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过去五年，是北京发展历史上极不平凡的五年。习近平总书记两次视察北京并发表重要讲话，明确了北京全国政治中心、文化中心、国际交往中心、科技创新中心的城市战略定位，为我们“建设一个什么样的首都，怎样建设首都”统一了思想、深化了认识、指明了方向。党中央、国务院正式批复《北京城市总体规划（2016年-2035年）》，为我们建设好伟大社会主义祖国的首都、迈向中华民族伟大复兴的大国首都、国际一流的和谐宜居之都绘就了宏伟蓝图，提供了基本依据。</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年来，北京市坚持以习近平新时代中国特色社会主义思想为指引，坚持稳中求进工作总基调，牢固树立新发展理念，深入落实首都城市战略定位，大力推进京津冀协同发展，加快疏功能、转方式、治环境、补短板、促协同、惠民生，推动首都现代化建设取得了重大进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一、城市发展深刻转型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紧紧抓住疏解非首都功能这个“牛鼻子”，有力开展疏解整治促提升专项行动，制定实施严格的新增产业禁止和限制目录，累计不予办理登记业务1.86万件，关停退出一般制造业企业1992家，调整疏解各类区域性专业市场594家，大力整治违法建设、“开墙打洞”、占道经营、背街小巷环境脏乱等突出问题，推动教育、医疗等公共服务资源均衡布局，精心编制副中心控制性详细规划。</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二、京津冀协同发展取得阶段性成效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全力支持雄安新区规划建设，与河北省签订战略合作协议，确定了8个重点合作领域及一批先期支持项目。全面落实《京津冀协同发展规划纲要》，交通、生态环保、产业三个重点领域实现率先突破。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交通：国家高速公路网7条首都放射线北京段全部建成，新机场航站楼封顶封围。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生态环保：实现区域空气重污染联防联控，空气质量明显改善。新增京冀生态水源保护林50万亩，永定河等流域生态保护统一规划、协同治理工作取得积极进展。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产业：加强产业转移承接重点平台建设。推进京津冀全面创新改革试验，2015年以来与津冀的技术合同成交额近470亿元。开展异地就医住院医疗费用直接结算，实现社会保险互联互认，推动公共服务合作共享。</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三、科技创新能力和经济发展质量稳步提升</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初步统计，地区生产总值年均增长7.1%、达到2.8万亿元，一般公共预算收入年均增长10.4%、达到5430.8亿元，第三产业比重达到80.6%；万元地区生产总值能耗、水耗和二氧化碳排放分别累计下降22.5%、22%、28.2%，能源利用效率位居全国首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落实全国科技创新中心建设总体方案，加速“三城一区”主平台建设，发挥中关村国家自主创新示范区引领带动作用，示范区规模以上企业总收入超过5万亿元、是2012年的两倍。实施《中国制造2025》北京行动纲要，发布新一代信息技术等10个高精尖产业发展指导意见及财政、土地、人才等一揽子支持政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四、改革开放取得新突破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“放管服”改革：精简行政审批事项1065项、精简比例达到68%，全市清理各类证明206项；“先照后证”等商事制度改革落地见效，优化营商环境26条措施启动实施。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经济领域改革：“营改增”试点改革全面推开，政府性收支全部纳入预算管理，政府和社会资本合作模式有效推广，阶梯水价、电价、气价和公共交通票制票价改革平稳实施，市属一级企业公司制改革全部完成，农村集体经营性建设用地入市试点稳步推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城市管理和执法体制改革：组建市区两级新的城市管理机构，城管执法力量下沉到街乡镇。调整组建市卫生计生委、规划国土委，完善市、区、街乡三级食品药品监管体系。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医药分开综合改革：3700多家医疗机构取消药品加成，开展首批医疗服务价格规范调整，解决以药养医问题取得重要突破。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服务业扩大开放综合试点：2017年实际利用外资243.3亿美元、跃居全国第一，其中服务业利用外资超九成。服务贸易额约占全国的1/5。积极对接服务“一带一路”建设，亚洲基础设施投资银行、丝路基金落户北京。</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五、“大城市病”治理力度显著加大</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实施清洁空气行动计划，发挥环保督察“利剑”作用，年燃煤总量从2270万吨减至600万吨以内，淘汰老旧机动车216.7万辆，清理整治“散乱污”企业1.1万家，2017年细颗粒物年均浓度为58微克/立方米，圆满完成第一阶段国家大气污染治理任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持续实施缓解交通拥堵专项行动计划，新增轨道交通166公里、总里程达到608公里，公交专用道总里程达到907公里，完成城六区次支路建设114条、堵点乱点治理240个，规范发展共享单车，中心城绿色出行比例达到72%。</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全面推行河长制，污水处理率提高到92%，再生水年利用量达到10.5亿立方米。南水北调水安全高效利用，密云水库蓄水量超过20亿立方米。生活垃圾日处理能力达到2.4万吨，资源化率达到57%。</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开展农村人居环境综合整治，累计创建美丽乡村1300个。城市生态空间大幅度增加，超额完成平原百万亩造林任务，新增城市绿地4000公顷，全市森林覆盖率由2012年的38.6%提高到43%。</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六、人民生活持续改善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贯彻以人民为中心的发展思想，累计办理重要民生实事146件。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收入：城镇登记失业率保持在1.5%左右的较低水平。全市居民人均可支配收入与经济增长同步，2017年达到5.7万元、同比实际增长6.9%；低收入农户收入增速连续7年快于全市农民。</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教育：实施两期学前教育三年行动计划，累计增加学位17万个。深化考试招生制度改革，义务教育免试就近入学比例不断提高。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医疗：医疗服务体系进一步完善，预约挂号、分时段就诊等创新服务全面推开。整合城乡居民基本医疗保险制度，统一城乡低保标准，城乡一体的社会保障体系率先形成。落实居家养老服务条例，建成街乡镇养老照料中心208个、社区养老服务驿站380家。“一刻钟社区服务圈”城市社区覆盖率达到87.5%。公共文化服务体系更加完善，群众体育蓬勃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住房：加大住房保障力度，累计建设筹集各类保障性住房49万套、竣工42万套，完成17.5万户棚户区改造和5000万平方米老旧小区综合整治任务。加强房地产市场调控，发布2017-2021年住宅用地供应计划，探索建立共有产权住房制度。截至2017年底，新建商品房价格连续15个月环比不增长，二手房价格指数连续8个月回落，房地产市场总体平稳。</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9" w:name="北京金融局霍学文：区块链企业不能造概念欺骗消费者"/>
      <w:r>
        <w:rPr>
          <w:rFonts w:hint="eastAsia" w:ascii="华文中宋" w:hAnsi="华文中宋" w:eastAsia="华文中宋" w:cs="华文中宋"/>
          <w:b/>
          <w:bCs/>
          <w:sz w:val="24"/>
          <w:szCs w:val="24"/>
          <w:lang w:val="en-US" w:eastAsia="zh-CN"/>
        </w:rPr>
        <w:t>北京金融局霍学文：区块链企业不能造概念欺骗消费者</w:t>
      </w:r>
    </w:p>
    <w:bookmarkEnd w:id="39"/>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来源：北京市金融工作局、北京商报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自今年初，区块链一直是金融圈的热门话题。1月25日，北京市金融工作局党组书记、局长霍学文在第十三届北京金博会中国金融年度论坛上表示，最近区块链技术蓬勃发展，但希望所有发展区块链的企业一定要关注好风险、控制好风险，不能造概念、造模式来欺骗金融消费者。所有发展金融科技、互联网金融以及基于区块链的发展，必须以保护投资者利益为先机，将严厉打击欺诈行为。</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岁末年初，资本市场炒概念之风骤起，不少企业跟风炒作区块链概念，相关风险也引发监管关注。1月16日，上交所和深交所共同发公告称个别股票已出现炒作风险，对相关概念股采取分类监管措施。此后，多家公司纷纷发布公告撇清与区块链业务的关系，股价也出现下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稀财汇创始人、500金研究院院长肖磊介绍，区块链本质是一个去中心化的数据库，相当于系统性的记账系统，作为比特币的底层技术存在，存储着一个点对点网络上的资产和交易信息，具有去中心化、自治性、开放性、匿名性和信息不可篡改等特征，是分布式存储、点对点交易、智能合约等技术的集合。</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事实上，进入2018年，监管层多方收紧对区块链和虚拟货币的监管。1月2日，互联网金融风险专项整治工作领导小组下发文件，要求各地引导辖内企业有序退出“挖矿”业务，并定期报送工作进度；1月12日，中国互联网金融协会发布风险提示，防范变现ICO活动，并点名迅雷“玩客币”。1月17日，央行营业管理部发布通知，要求辖内各法人支付机构即日开展自查整改工作，严禁为虚拟货币交易提供服务，并采取有效措施防止支付通道用于虚拟货币交易。</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除了提示区块链风险外，霍学文还介绍了北京地区金融业的对外开放情况。霍学文表示，外资金融已经成为支撑首都金融发展的重要力量。截至2017年底，北京市有外资金融法人机构共42家。此外，亚洲基础设施投资银行、丝路基金、东非基金、亚洲金融合作协会等国际金融机构和组织也在京注册。霍学文认为，北京具有外资金融发展的独特优势。首先，北京作为国家金融管理中心，一行三会齐聚。其次，北京是全国惟一的服务业扩大开放试点综合城市，为外资金融机构发展提供了良好条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40" w:name="央行发布2017年金融市场运行情况"/>
      <w:r>
        <w:rPr>
          <w:rFonts w:hint="eastAsia" w:ascii="华文中宋" w:hAnsi="华文中宋" w:eastAsia="华文中宋" w:cs="华文中宋"/>
          <w:b/>
          <w:bCs/>
          <w:sz w:val="24"/>
          <w:szCs w:val="24"/>
          <w:lang w:val="en-US" w:eastAsia="zh-CN"/>
        </w:rPr>
        <w:t>央行发布2017年金融市场运行情况</w:t>
      </w:r>
    </w:p>
    <w:bookmarkEnd w:id="40"/>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来源：北京市金融工作局、中国人民银行网站</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年，债券市场发行规模继续保持增长，交易量有所减少，债券收益率曲线上移，市场投资者结构进一步多元化；货币市场利率有所上行，交易量小幅下降；互换利率小幅上行；股指震荡走升，成交量同比下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一、债券发行量保持增长</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 年，债券市场共发行各类债券40.8万亿元，较上年增长12.9%。其中，银行间债券市场发行债券36.8万亿元，同比增长14.2%。截至2017年12月末，债券市场托管余额为74.0 万亿元，其中银行间债券市场托管余额为65.4万亿元。2017 年，国债发行3.9万亿元，地方政府债券发行4.4万亿元，金融债券1发行5万亿元，政府支持机构债券发行2860亿元，资产支持证券发行1.5万亿元，同业存单发行20.2万亿元，公司信用类债券发行5.5万亿元。</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二、银行间市场成交量有所减少</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 年，银行间市场信用拆借、回购交易成交总量695.3万亿元，同比下降0.3%。其中，同业拆借累计成交79.0万亿元，同比下降17.7%；质押式回购累计成交588.3万亿元，同比增长3.5%；买断式回购累计成交28.1万亿元，同比下降14.9%。2017 年，债券市场现券交易量108.4万亿元，同比下降18.0%。其中，银行间市场现券累计成交102.8万亿元，日均成交4097亿元，同比下降19.1%。交易所现券累计成交5.6万亿元，日均成交227.9亿元，同比增长9.8%。</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三、货币市场利率和债券收益率上行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 年12 月份，银行间货币市场同业拆借月加权平均利率为2.91%；质押式回购月加权平均利率为3.11%。2017年，债券收益率曲线整体上移。12 月末，1 年、3 年、5年、7 年、10 年期国债收益率分别为3.79%、3.78%、3.84%、3.90%、3.88%；5 年期AAA 级、AA+级和AA 级中短期票据收益率分别为5.42%、5.67%、5.87%；中债综合全价指数为113.37 点；交易所上证国债指数为160.85 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四、投资者结构进一步多元化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截至2017 年末，银行间市场各类参与主体共计18681家，较上年末增加3437 家。其中，境内法人类机构2665家，较上年末增加235 家；境内非法人类机构15458 家，较上年末增加2999家；境外机构投资者617家，较上年末增加210家。2017年末，银行间市场存款类金融机构持有债券余额38.01万亿元，持债占比58.1%，较上年末下降0.6个百分点；非法人机构投资者持债规模18.54 万亿元，占比为28.3%，较上年末提高0.9个百分点。公司信用类债券持有者中存款类机构继续下降，存款类金融机构、非银行金融机构、非法人机构投资者和其他投资者的持有债券占比分别为21.7%、7.1%、71.2%。</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五、利率衍生品交易量同比增长，互换利率小幅上行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2017年，银行间人民币利率衍生品市场累计成交14.4 万亿元，同比增长45.2%。其中，利率互换成交名义本金总额14.4 万亿元，同比增长45.2%；债券远期成交12 亿元，信用违约互换成交7亿元。利率互换期限品种主要以短期品种为主，1年期及以下交易名义本金额占总成交量的76.9%；浮动端参考利率为7 天回购定盘利率（FR007），占比为79.1%。互换利率小幅上行。2017 年末，1 年期FR007 互换利率为3.70%，5 年期FR007 互换利率为4.04%。</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六、股票市场股指震荡走升</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 年，股票市场整体震荡走升，上证综指创2016 年以来新高。上证综指一度突破3400点，创2016年以来新高，最后收于3307点，较上年末上涨6.56%；深圳成指收于11040 点，较上年末上涨8.48%。两市全年成交额112.8 万亿元，同比下降11.71%。</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41" w:name="央行、银监会等七部门印发对外投资备案报告暂行办法"/>
      <w:r>
        <w:rPr>
          <w:rFonts w:hint="eastAsia" w:ascii="华文中宋" w:hAnsi="华文中宋" w:eastAsia="华文中宋" w:cs="华文中宋"/>
          <w:b/>
          <w:bCs/>
          <w:sz w:val="24"/>
          <w:szCs w:val="24"/>
          <w:lang w:val="en-US" w:eastAsia="zh-CN"/>
        </w:rPr>
        <w:t>央行、银监会等七部门印发对外投资备案报告暂行办法</w:t>
      </w:r>
    </w:p>
    <w:bookmarkEnd w:id="41"/>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来源：北京市金融工作局、中国证券网</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记者25日从商务部获悉，商务部、央行、国资委、银监会、证监会、保监会、外汇局联合印发《对外投资备案（核准）报告暂行办法》。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根据《办法》，境内投资主体在开展对外投资的过程，按规定向相关主管部门报告其对外投资情况并提供相关信息；相关主管部门依据其报告的情况和信息制定对外投资政策，开展对外投资监督、管理和服务。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商务、金融、国资等主管部门依各自职能依法开展境内投资主体对外投资备案（核准）报告等工作，按照“横向协作、纵向联动”的原则，形成监管合力。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《办法》指出，相关主管部门应根据各自职责按照“鼓励发展+负面清单”的模式建立健全相应的对外投资备案（核准）办法。</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根据《办法》，相关主管部门应对所负责的对外投资进行监督管理，对以下对外投资情形进行重点督查：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（一）中方投资额等值3亿美元(含3亿美元)以上的对外投资；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（二）敏感国别(地区)、敏感行业的对外投资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（三）出现重大经营亏损的对外投资；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（四）出现重大安全事故及群体性事件的对外投资；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（五）存在严重违规行为的对外投资；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（六）其他情形的重大对外投资。</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jc w:val="both"/>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42" w:name="北京银行业运行稳中向好强监管、推转型、促发展各项工作成效显著"/>
      <w:r>
        <w:rPr>
          <w:rFonts w:hint="eastAsia" w:ascii="华文中宋" w:hAnsi="华文中宋" w:eastAsia="华文中宋" w:cs="华文中宋"/>
          <w:b/>
          <w:bCs/>
          <w:sz w:val="24"/>
          <w:szCs w:val="24"/>
          <w:lang w:val="en-US" w:eastAsia="zh-CN"/>
        </w:rPr>
        <w:t>北京银行业运行稳中向好 强监管、推转型、促发展各项工作成效显著</w:t>
      </w:r>
    </w:p>
    <w:bookmarkEnd w:id="42"/>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日期：2018年1月26日 来源：北京市金融工作局、千龙网</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金融去杠杆成效明显</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宏观调控政策与强监管政策叠加影响下，北京辖内银行业推动金融去杠杆、回归主业的成效突出显现。资产负债增速明显放缓。截至2017年末，辖内银行业资产总额22.2万亿元，同比增长2.8%，增速同比下降7个百分点。负债总额21.2万亿元，同比增长2.2%，增速同比下降7.3个百分点。资产负债增速和增量均系2008年来最低值。同业业务全面收缩。同业资产余额同比下降3.1%，增速同比下降6.4个百分点；同业负债余额同比下降15.6%，增速同比下降7.3个百分点。存贷款主业更加突出。各项存款余额同比增长7.4%，较同期负债增速高出5.2个百分点；各项贷款余额同比增长10.6%，较同期资产增速高出7.8个百分点，且全年贷款增量创2010年以来最高值。</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银行业信贷结构优化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监局持续督导辖内银行业细化产能过剩行业客户分类，执行差异化信贷政策，鼓励机构将新增贷款向基础设施和民生保障领域倾斜。截至2017年末，辖内主要银行六大产能严重过剩行业贷款余额同比下降12.5%；不良贷款率同比下降0.22个百分点，化解过剩产能效果显著。全年新增贷款中，约六成投向电热燃气及水的生产与供应业、制造业、建筑业、交通运输仓储和邮政业、租赁与商务服务业等领域。其中，保障房贷款同比增长59.2%，信息技术服务业、文创产业贷款同比分别增长14.3%、8.3%，绿色信贷领域贷款同比增长9.5%。</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银行业信贷资产质量向好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监局鼓励辖内银行业通过多种手段加大不良信贷资产处置力度。截至2017年末，辖内银行业不良贷款余额降至317.4亿元，同比减少136.2亿元，下降30.0%；不良贷款率0.37%，同比下降0.22个百分点。不良贷款率系2007年以来同期最低值。</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房地产调控政策效果显现</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监局着力督导辖内银行业落实房地产市场调控政策。2017年个人住房贷款1至4季度月均新发放金额分别为268.5亿元、204.2亿元、147.9亿元和87.3亿元，呈现明显下降趋势；全年个人住房贷款增量占同期各项贷款增量的比重同比下降23.0%。4-12月，按照“317新政”执行的个人住房贷款中，超八成用于支持无房群体购房需求。房地产调控政策效果显现。</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重点工程项目融资稳步增长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监局强化银行业服务实体经济质效考核评估，督导辖内银行业立足自身定位与优势，坚持推进政策落实与优化金融服务相结合，着力加大对北京城市建设重点领域、重大项目的支持力度，取得良好成效。截至2017年末,辖内中资机构重点工程融资余额2137.5亿元，其中表内贷款资金同比增长逾三成，支持了包括北京市中低速磁浮交通示范线、世界园艺博览会园区、兴延高速、京张铁路、京霸铁路、等在内的87个重点项目建设。重点工程项目主要围绕“高精尖”产业、生态环境提升、基础设施、民生改善等领域，其中，为后两个领域提供的融资占比近七成。开发银行、政策性银行、大型银行以及地方法人银行积极发挥中坚力量，国开行、工行、农行在京机构以及北京农商银行、北京银行对北京市2017年重点工程的融资合计占比超过七成。</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对京津冀协同发展类项目支持力度不断加大</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银监局积极推动京津冀协同发展战略实施，持续推进三地监管联动，截至2017年末，辖内银行业支持京津冀协同发展表内外融资余额8228.9亿元，同比增长近一倍。其中，支持保障房、交通一体化、产业转移升级、生态环境建设和通州城市副中心的融资合计占比高达77.1%，重点支持了包括北京新机场、冬奥会、冬残奥会、北京环球主题公园等在内的项目建设。</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3" w:name="金融科技助力行业发展智能投资提升资管水平——中国证券投资基金业协会成功举办金融"/>
      <w:r>
        <w:rPr>
          <w:rFonts w:hint="eastAsia" w:ascii="华文中宋" w:hAnsi="华文中宋" w:eastAsia="华文中宋" w:cs="华文中宋"/>
          <w:b/>
          <w:bCs/>
          <w:sz w:val="24"/>
          <w:szCs w:val="24"/>
          <w:lang w:val="en-US" w:eastAsia="zh-CN"/>
        </w:rPr>
        <w:t>金融科技助力行业发展 智能投资提升资管水平——中国证券投资基金业协会成功举办金融科技与智能投资培训班</w:t>
      </w:r>
    </w:p>
    <w:bookmarkEnd w:id="43"/>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日期：2018年1月23日 来源：中国证券投资基金业协会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帮助资产管理行业了解国内外有关“金融科技”及“智能投资”的前沿理论及实践成果，提升行业机构的投资管理水平，推动人工智能在资产管理领域的发展与应用，中国证券投资基金业协会（以下简称“协会”）于1月19-20日在北京成功举办金融科技与智能投资专题培训班。本次培训得到了业内的广泛关注，来自110余家机构的210余名学员参加了培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329305" cy="2497455"/>
            <wp:effectExtent l="0" t="0" r="4445" b="17145"/>
            <wp:docPr id="2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56"/>
                    <pic:cNvPicPr>
                      <a:picLocks noChangeAspect="1"/>
                    </pic:cNvPicPr>
                  </pic:nvPicPr>
                  <pic:blipFill>
                    <a:blip r:embed="rId27"/>
                    <a:stretch>
                      <a:fillRect/>
                    </a:stretch>
                  </pic:blipFill>
                  <pic:spPr>
                    <a:xfrm>
                      <a:off x="0" y="0"/>
                      <a:ext cx="3329305" cy="2497455"/>
                    </a:xfrm>
                    <a:prstGeom prst="rect">
                      <a:avLst/>
                    </a:prstGeom>
                    <a:noFill/>
                    <a:ln w="9525">
                      <a:noFill/>
                    </a:ln>
                  </pic:spPr>
                </pic:pic>
              </a:graphicData>
            </a:graphic>
          </wp:inline>
        </w:drawing>
      </w:r>
    </w:p>
    <w:p>
      <w:pPr>
        <w:spacing w:line="360" w:lineRule="auto"/>
        <w:ind w:firstLine="480" w:firstLineChars="200"/>
        <w:jc w:val="left"/>
        <w:rPr>
          <w:rFonts w:hint="eastAsia" w:ascii="宋体" w:hAnsi="宋体" w:eastAsia="宋体" w:cs="宋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宋体" w:hAnsi="宋体" w:eastAsia="宋体" w:cs="宋体"/>
          <w:sz w:val="24"/>
          <w:szCs w:val="24"/>
          <w:lang w:val="en-US" w:eastAsia="zh-CN"/>
        </w:rPr>
        <w:t xml:space="preserve">  </w:t>
      </w:r>
      <w:r>
        <w:rPr>
          <w:rFonts w:hint="eastAsia" w:ascii="华文楷体" w:hAnsi="华文楷体" w:eastAsia="华文楷体" w:cs="华文楷体"/>
          <w:sz w:val="24"/>
          <w:szCs w:val="24"/>
          <w:lang w:val="en-US" w:eastAsia="zh-CN"/>
        </w:rPr>
        <w:t>培训邀请了国内外著名高校学者及业内专家共同为学员授课。来自美国芝加哥大学布斯商学院的丛林副教授首先从因子投资、区块链、非机构化数据等方面介绍了金融科技前沿理论及在海外的实践，重点介绍了量本投资的知识体系与科技创新。上海高级金融学院的李祥林教授以“资产管理中的金融科技”为主题，介绍了金融企业的整体分析框架结构、资产组合优化方法的演变、销售和交易为中心的系统设计等方面的内容。来自美国金融科技公司DeepMacro的联合创始人Jeffrey D.Young详细介绍了大数据与宏观投资、金融科技与深度创新、金融科技与资产管理、金融科技风险等方面的内容，并与学员就大数据的宏观研究应用进行了深入的交流。博时基金副总经理王德英从投资管理基本流程与方法、大数据及人工智能的应用、智能投顾三个方面分享了大数据与人工智能技术在投资管理中的应用。浙商基金的高级策略研究员向伟从人工智能的发展史、人工智能技术在各领域的发展、人工智能在资管行业的应用三个维度深入浅出地讲解了人工智能与智能投资。</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067685" cy="2300605"/>
            <wp:effectExtent l="0" t="0" r="18415" b="4445"/>
            <wp:docPr id="2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56"/>
                    <pic:cNvPicPr>
                      <a:picLocks noChangeAspect="1"/>
                    </pic:cNvPicPr>
                  </pic:nvPicPr>
                  <pic:blipFill>
                    <a:blip r:embed="rId28"/>
                    <a:stretch>
                      <a:fillRect/>
                    </a:stretch>
                  </pic:blipFill>
                  <pic:spPr>
                    <a:xfrm>
                      <a:off x="0" y="0"/>
                      <a:ext cx="3067685" cy="2300605"/>
                    </a:xfrm>
                    <a:prstGeom prst="rect">
                      <a:avLst/>
                    </a:prstGeom>
                    <a:noFill/>
                    <a:ln w="9525">
                      <a:noFill/>
                    </a:ln>
                  </pic:spPr>
                </pic:pic>
              </a:graphicData>
            </a:graphic>
          </wp:inline>
        </w:drawing>
      </w: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协会副会长钟蓉萨出席培训并作总结讲话，她表示希望能通过此次培训让在座的学员了解相关领域的前沿理论及实践成果，提升行业机构的投资管理水平。她指出金融科技的发展和应用是行业的大势所趋，协会正在积极探索运用大数据等现代信息技术来提高工作效率，不断提升自律监管的科技化、智能化水平，强化市场风险监测和识别能力，保护投资者合法权益，并通过金融科技竞赛等活动引导行业用算法模型解决投资领域的问题，促进行业金融科技发展。</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培训得到学员们的一致好评，在答疑交流环节学员们踊跃提问，就关心的问题与授课老师进行了深入的探讨与交流。课后调查问卷结果显示，本次培训满意率达93％。</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188970" cy="2392045"/>
            <wp:effectExtent l="0" t="0" r="11430" b="8255"/>
            <wp:docPr id="2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56"/>
                    <pic:cNvPicPr>
                      <a:picLocks noChangeAspect="1"/>
                    </pic:cNvPicPr>
                  </pic:nvPicPr>
                  <pic:blipFill>
                    <a:blip r:embed="rId29"/>
                    <a:stretch>
                      <a:fillRect/>
                    </a:stretch>
                  </pic:blipFill>
                  <pic:spPr>
                    <a:xfrm>
                      <a:off x="0" y="0"/>
                      <a:ext cx="3188970" cy="2392045"/>
                    </a:xfrm>
                    <a:prstGeom prst="rect">
                      <a:avLst/>
                    </a:prstGeom>
                    <a:noFill/>
                    <a:ln w="9525">
                      <a:noFill/>
                    </a:ln>
                  </pic:spPr>
                </pic:pic>
              </a:graphicData>
            </a:graphic>
          </wp:inline>
        </w:drawing>
      </w: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44" w:name="焕发新气象施展新作为——中国证券投资基金业协会自律监察委员会召开第二次全体会议"/>
      <w:r>
        <w:rPr>
          <w:rFonts w:hint="eastAsia" w:ascii="华文中宋" w:hAnsi="华文中宋" w:eastAsia="华文中宋" w:cs="华文中宋"/>
          <w:b/>
          <w:bCs/>
          <w:sz w:val="24"/>
          <w:szCs w:val="24"/>
          <w:lang w:val="en-US" w:eastAsia="zh-CN"/>
        </w:rPr>
        <w:t>焕发新气象 施展新作为——中国证券投资基金业协会自律监察委员会召开第二次全体会议</w:t>
      </w:r>
    </w:p>
    <w:bookmarkEnd w:id="44"/>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日期：2018年1月23日 来源：中国证券投资基金业协会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2018年1月22日，中国证券投资基金业协会第二届自律监察委员会召开第二次全体会议。会议由委员会主席、工银瑞信基金管理公司总经理郭特华主持，协会会长洪磊出席会议，委员会全体成员参加会议。</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098165" cy="2063115"/>
            <wp:effectExtent l="0" t="0" r="6985" b="13335"/>
            <wp:docPr id="2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56"/>
                    <pic:cNvPicPr>
                      <a:picLocks noChangeAspect="1"/>
                    </pic:cNvPicPr>
                  </pic:nvPicPr>
                  <pic:blipFill>
                    <a:blip r:embed="rId30"/>
                    <a:stretch>
                      <a:fillRect/>
                    </a:stretch>
                  </pic:blipFill>
                  <pic:spPr>
                    <a:xfrm>
                      <a:off x="0" y="0"/>
                      <a:ext cx="3098165" cy="2063115"/>
                    </a:xfrm>
                    <a:prstGeom prst="rect">
                      <a:avLst/>
                    </a:prstGeom>
                    <a:noFill/>
                    <a:ln w="9525">
                      <a:noFill/>
                    </a:ln>
                  </pic:spPr>
                </pic:pic>
              </a:graphicData>
            </a:graphic>
          </wp:inline>
        </w:drawing>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会议全面总结了2017年的基金行业自律工作。2017年，协会坚决贯彻落实全国金融工作会议精神,按照证监会依法全面从严监管的总体要求,坚持把纪律挺在前面， 努力以最严格的自律把基金行业打造为遵章守纪的金融高地。协会全年受理投资者投诉2090件，启动自律调查和专项核查上百次，对246家私募基金管理人采取临时性暂停备案的自律措施，配合公安机关调取67家涉嫌犯罪机构的资料，至年底累计公示18批次319家失联机构，对徐翔和泽熙公司、恒泰证券、厦门国贸等典型案例予以纪律处分，会同中小投资者服务中心支持投资者对上海猛犸提起民事诉讼，促成中源诚信未来城资管计划、新沃基金乾元2号等12起民事纠纷达成调解协议，涉及金额6.26亿。会议认为，2017年的行业自律工作有力地维护了基金行业秩序,切实让投资者感受到了行业自律对投资者合法权益的重视和维护,促进了基金行业的健康发展。</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会议指出，2018年的基金行业的自律工作应当以新气象、新作为响应新时代的号召。一是强化自律管理的力度。严格贯彻落实《基金法》、即将出台的《私募基金管理暂行条例》以及资管新规的要求，积极发挥行业自律在防范化解金融风险攻坚战中的重要作用，以最严格的纪律引导和督促基金行业回归资产管理本源，统一业务标准，服务实体经济。坚决治理脱实向虚的金融空转，加大对典型案件的惩治力度，让监管套利的灰色地带成为行业的禁区。二是拓展自律管理的广度。既要加强对会员的管理，也要重视非会员机构对于维护行业秩序的影响。对于尚未成为会员的登记机构，要建立针对性的管理制度，一旦出现危害行业秩序的异常经营情形，应当自行聘请律师事务所提交法律意见书，自负成本，自证清白，否则及时予以清理。同时，要在自律管理中更加重视对基金托管人、基金服务机构、律师事务所和基金从业人员的责任追查，提升行业全链条的责任意识，以落实责任为基础形成良性的市场共治。三是努力提升投资者的满意度。坚持投资者利益至上是基金行业的立业之本，也是行业自律管理工作的初心。要进一步优化投诉流程，提高投诉处理效率，把投诉记录与诚信档案挂钩，限制投诉机构开展业务，增加失信成本。要进一步发挥协会自律调解的法定职责，积极化解纠纷，增强投资者的获得感。要多渠道维护投资者合法权益，充分运用支持诉讼等法律武器，引导投资者依法维权。</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是全面贯彻党的十九大精神的开局之年，是改革开放40周年，也是公募基金行业诞生20周年。目前，基金行业已成为多层次资本市场的重要组成部分，推动长期资本形成、服务国家创新发展战略的作用日益显著；基金行业的供给侧改革和高质量发展对加快建设实体经济、科技创新、现代金融、人力资源协同发展的产业体系具有重要意义。委员会号召全行业不忘初心，牢记使命，在新时代以更加高度的自觉，以更加严格的自律，为维护行业秩序，为促进社会财富，为加强国家建设作出新贡献。</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firstLineChars="200"/>
        <w:jc w:val="center"/>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协会自律监察委员会第二次全体会议出席名单</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r>
        <w:rPr>
          <w:rFonts w:hint="eastAsia" w:ascii="华文楷体" w:hAnsi="华文楷体" w:eastAsia="华文楷体" w:cs="华文楷体"/>
          <w:b/>
          <w:bCs/>
          <w:sz w:val="24"/>
          <w:szCs w:val="24"/>
          <w:lang w:val="en-US" w:eastAsia="zh-CN"/>
        </w:rPr>
        <w:t>一、主席</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郭特华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工银瑞信基金管理公司总经理、兼职副会长</w:t>
      </w: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sz w:val="24"/>
          <w:szCs w:val="24"/>
          <w:lang w:val="en-US" w:eastAsia="zh-CN"/>
        </w:rPr>
        <w:t xml:space="preserve">    </w:t>
      </w:r>
      <w:r>
        <w:rPr>
          <w:rFonts w:hint="eastAsia" w:ascii="华文楷体" w:hAnsi="华文楷体" w:eastAsia="华文楷体" w:cs="华文楷体"/>
          <w:b/>
          <w:bCs/>
          <w:sz w:val="24"/>
          <w:szCs w:val="24"/>
          <w:lang w:val="en-US" w:eastAsia="zh-CN"/>
        </w:rPr>
        <w:t>二、联席主席</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刘纯亮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安信证券股份有限公司副总裁、协会理事</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罗    茁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清控银杏创业投资管理（北京）有限公司董事长、创始合伙人</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赵    军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淡水泉（北京）投资管理有限公司董事长</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三、委员</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波    涛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前深圳证券交易所综合研究所所长</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蔡小雪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原最高人民法院行政庭高级法官、审判长</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陈星德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国泰基金管理公司副总经理</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刘俊海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中国人民大学法学院教授</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芮跃华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原中证中小投资者服务中心有限责任公司董事长</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宋国良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对外经济贸易大学教授</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薛爱东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富国基金管理有限公司董事长、协会理事</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薛刚凌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华南师范大学政府改革与法治建设研究院院长，原中国政法大学法学院院长、原最高人民法院行政审判庭副庭长）</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张子学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中国政法大学民商经济法学院教授，原证监会行政处罚委员会委员</w:t>
      </w: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sz w:val="24"/>
          <w:szCs w:val="24"/>
          <w:lang w:val="en-US" w:eastAsia="zh-CN"/>
        </w:rPr>
        <w:t xml:space="preserve">   </w:t>
      </w:r>
      <w:r>
        <w:rPr>
          <w:rFonts w:hint="eastAsia" w:ascii="华文楷体" w:hAnsi="华文楷体" w:eastAsia="华文楷体" w:cs="华文楷体"/>
          <w:b/>
          <w:bCs/>
          <w:sz w:val="24"/>
          <w:szCs w:val="24"/>
          <w:lang w:val="en-US" w:eastAsia="zh-CN"/>
        </w:rPr>
        <w:t xml:space="preserve"> 列席专家：</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钱列阳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紫华律师事务所创始人、主任 协会法制工作委员会委员</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谢    杰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上海交通大学凯原法学院副教授</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楷体" w:hAnsi="华文楷体" w:eastAsia="华文楷体" w:cs="华文楷体"/>
          <w:sz w:val="24"/>
          <w:szCs w:val="24"/>
          <w:lang w:val="en-US" w:eastAsia="zh-CN"/>
        </w:rPr>
      </w:pPr>
      <w:bookmarkStart w:id="45" w:name="促进回归本源助力业务发展——中国证券投资基金业协会资产证券化专业委员会类REI"/>
      <w:r>
        <w:rPr>
          <w:rFonts w:hint="eastAsia" w:ascii="华文中宋" w:hAnsi="华文中宋" w:eastAsia="华文中宋" w:cs="华文中宋"/>
          <w:b/>
          <w:bCs/>
          <w:sz w:val="24"/>
          <w:szCs w:val="24"/>
          <w:lang w:val="en-US" w:eastAsia="zh-CN"/>
        </w:rPr>
        <w:t>促进回归本源 助力业务发展——中国证券投资基金业协会资产证券化专业委员会类REITs业务专题研讨会在京召开</w:t>
      </w:r>
    </w:p>
    <w:bookmarkEnd w:id="45"/>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来源：中国证券投资基金业协会</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1月23日，中国证券投资基金业协会（以下简称“协会”）在北京召开“类REITs业务专题研讨会”，资产证券化专业委员会委员代表及专家顾问共计20余人参加会议。研讨会由陈春艳副秘书长主持，证监会债券部蔡建春主任和协会党委书记、会长洪磊出席会议并讲话，证监会债券部、机构部相关人员参加会议。</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928620" cy="2196465"/>
            <wp:effectExtent l="0" t="0" r="5080" b="13335"/>
            <wp:docPr id="3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56"/>
                    <pic:cNvPicPr>
                      <a:picLocks noChangeAspect="1"/>
                    </pic:cNvPicPr>
                  </pic:nvPicPr>
                  <pic:blipFill>
                    <a:blip r:embed="rId31"/>
                    <a:stretch>
                      <a:fillRect/>
                    </a:stretch>
                  </pic:blipFill>
                  <pic:spPr>
                    <a:xfrm>
                      <a:off x="0" y="0"/>
                      <a:ext cx="2928620" cy="2196465"/>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次研讨会深入讨论目前我国类REITs业务的重要作用、业务模式、运作架构，以及银监会1月5日发布的《商业银行委托贷款管理办法》和协会1月12日发布的《私募投资基金备案须知》对此项业务的潜在影响。在此基础上，会议明确了私募投资基金是参与类REITs业务的可行投资工具，提出参与类REITs业务的私募基金备案与交易所资产证券化产品备案和挂牌的流程优化和衔接安排。</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目前国内类REITs业务的实践做法主要是在资产证券化业务框架下，构造出基于存量房地产的具有稳定现金流的基础资产，设立发行资产支持专项计划，而私募基金作为持有项目公司权益的载体，是类REITs产品交易结构设计和重组的焦点所在。当前产品设计中普遍采用私募基金构建“股+债”结构实现资产支持专项计划对底层标的物业的控制。委员代表认为，在我国尚未正式出台公募REITs制度的时期，借鉴REITs的核心理念，探索开展类REITs业务，已成为我国资产证券化业务的重要组成部分，有利于促进房地产市场的健康发展，促进盘活存量资产，支持房地产企业降低杠杆率，是资本市场和资产管理行业服务实体经济的重要手段。</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会议指出，十九大报告中明确要贯彻新发展理念，建设现代化经济体系，着力加快建设包含现代金融在内协同发展的产业体系。资产证券化等直接融资工具以及私募基金业务作为现代金融的重要内容，将迎来发展的重大契机。近期协会发布的《私募投资基金备案须知》明确了私募投资基金的范围，正本清源，强调私募投资基金是一种由基金和投资者承担风险，并通过主动风险管理，获取风险性投资收益的投资活动。私募基金财产债务由私募基金财产本身承担，投资者以其出资为限，分享投资收益和承担风险。私募基金的投资不应是借贷活动。《备案须知》重申了资管业务要回归本源，私募基金要恪守本质，明确私募基金业务与经营性借贷业务有本质区别，私募基金不能搞“名基实贷”业务，不能成为影子银行的变种。在私募基金募集端，特别强调“卖者尽责，买者自负”，管理人要向合格投资者充分进行包括流动性、关联交易、单一项目等特殊风险在内的各类风险揭示，投资者应当购买与其风险识别能力和承担能力相匹配的私募基金，在投资前要按照《私募投资基金风险揭示书内容与格式指引》在私募基金风险揭示书的“投资者声明”所列13类签字项逐项签字。在私募基金投资端，私募基金可以综合运用股权、夹层、可转债、符合资本弱化限制的股东借款等工具投资到被投企业，形成权益资本。符合上述要求和《备案须知》的私募基金产品均可以正常备案。</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与会行业机构一致表示，在证监会指导下，一定要认真贯彻学习十九大报告，深刻挖掘“现代金融”的内涵与外延，加快间接融资向直接融资转型，正本清源，回归资管业务本源，着力推动私募基金与类REITs业务规范健康发展。</w:t>
      </w: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bookmarkStart w:id="46" w:name="关于注销第四批公示期满三个月且仍未主动联系协会的失联机构私募基金管理人登记的公告"/>
      <w:r>
        <w:rPr>
          <w:rFonts w:hint="eastAsia" w:ascii="华文中宋" w:hAnsi="华文中宋" w:eastAsia="华文中宋" w:cs="华文中宋"/>
          <w:b/>
          <w:bCs/>
          <w:sz w:val="24"/>
          <w:szCs w:val="24"/>
          <w:lang w:val="en-US" w:eastAsia="zh-CN"/>
        </w:rPr>
        <w:t>关于注销第四批公示期满三个月且仍未主动联系协会的失联机构私募基金管理人登记的公告</w:t>
      </w:r>
    </w:p>
    <w:bookmarkEnd w:id="46"/>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日期：2018年1月24日 来源：中国证券投资基金业协会</w:t>
      </w:r>
    </w:p>
    <w:p>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年1月12日，协会发布《关于优化失联机构自律机制及公示第十一批失联私募机构的公告》（中基协字〔2017〕8号）。公告规定，“自失联机构公告发布之日起，列入失联机构的私募基金管理人，满三个月且未主动联系协会并提供有效证明材料的，协会将注销其私募基金管理人登记。”</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自实施私募基金管理人失联公示制度以来，协会共对外公告18批失联机构和3批公示期满三个月且仍未主动联系协会的失联机构，依公告注销94家私募基金管理人登记。现有上海誉银股权投资基金管理有限公司（以下简称“上海誉银”）等19家机构达到公示期满三个月且未主动联系协会并提供有效证明材料的注销条件。协会将注销该19家机构私募基金管理人登记，并将上述情形计入资本市场诚信档案数据库。社会公众可通过证券期货市场失信记录查询平台（http://shixin.csrc.gov.cn/honestypub/）进行查询。</w:t>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协会提醒私募基金投资者持续关注私募基金管理人的合规诚信情况，谨慎做出基金投资决策，通过法律渠道维护自身合法权益。协会将继续秉持“扶优限劣”基本方针，不断完善私募行业诚信信息记录积累机制，促进行业合规健康发展。</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特此公告。</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附表：因失联被注销的私募基金管理人名单</w:t>
      </w:r>
    </w:p>
    <w:p>
      <w:pPr>
        <w:spacing w:line="360" w:lineRule="auto"/>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中国证券投资基金业协会</w:t>
      </w:r>
    </w:p>
    <w:p>
      <w:pPr>
        <w:spacing w:line="360" w:lineRule="auto"/>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二○一八年一月二十四日</w:t>
      </w:r>
    </w:p>
    <w:p>
      <w:r>
        <w:rPr>
          <w:rFonts w:hint="eastAsia"/>
        </w:rPr>
        <w:t>因失联被注销的私募基金管理人名单</w:t>
      </w:r>
    </w:p>
    <w:tbl>
      <w:tblPr>
        <w:tblpPr w:vertAnchor="text" w:tblpXSpec="left"/>
        <w:tblW w:w="8293"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469"/>
        <w:gridCol w:w="3868"/>
        <w:gridCol w:w="2512"/>
        <w:gridCol w:w="1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870" w:hRule="atLeast"/>
          <w:tblCellSpacing w:w="0" w:type="dxa"/>
        </w:trPr>
        <w:tc>
          <w:tcPr>
            <w:tcW w:w="469" w:type="dxa"/>
            <w:shd w:val="clear"/>
            <w:vAlign w:val="center"/>
          </w:tcPr>
          <w:p>
            <w:pPr>
              <w:pStyle w:val="10"/>
              <w:keepNext w:val="0"/>
              <w:keepLines w:val="0"/>
              <w:widowControl/>
              <w:suppressLineNumbers w:val="0"/>
            </w:pPr>
            <w:r>
              <w:rPr>
                <w:rStyle w:val="12"/>
              </w:rPr>
              <w:t>序号</w:t>
            </w:r>
          </w:p>
        </w:tc>
        <w:tc>
          <w:tcPr>
            <w:tcW w:w="3868" w:type="dxa"/>
            <w:shd w:val="clear"/>
            <w:vAlign w:val="center"/>
          </w:tcPr>
          <w:p>
            <w:pPr>
              <w:pStyle w:val="10"/>
              <w:keepNext w:val="0"/>
              <w:keepLines w:val="0"/>
              <w:widowControl/>
              <w:suppressLineNumbers w:val="0"/>
            </w:pPr>
            <w:r>
              <w:rPr>
                <w:rStyle w:val="12"/>
              </w:rPr>
              <w:t>机构名称</w:t>
            </w:r>
          </w:p>
        </w:tc>
        <w:tc>
          <w:tcPr>
            <w:tcW w:w="2512" w:type="dxa"/>
            <w:shd w:val="clear"/>
            <w:vAlign w:val="center"/>
          </w:tcPr>
          <w:p>
            <w:pPr>
              <w:pStyle w:val="10"/>
              <w:keepNext w:val="0"/>
              <w:keepLines w:val="0"/>
              <w:widowControl/>
              <w:suppressLineNumbers w:val="0"/>
            </w:pPr>
            <w:r>
              <w:rPr>
                <w:rStyle w:val="12"/>
              </w:rPr>
              <w:t>统一社会信用代码</w:t>
            </w:r>
          </w:p>
          <w:p>
            <w:pPr>
              <w:pStyle w:val="10"/>
              <w:keepNext w:val="0"/>
              <w:keepLines w:val="0"/>
              <w:widowControl/>
              <w:suppressLineNumbers w:val="0"/>
            </w:pPr>
            <w:r>
              <w:rPr>
                <w:rStyle w:val="12"/>
              </w:rPr>
              <w:t>/组织机构代码</w:t>
            </w:r>
          </w:p>
        </w:tc>
        <w:tc>
          <w:tcPr>
            <w:tcW w:w="1444" w:type="dxa"/>
            <w:shd w:val="clear"/>
            <w:vAlign w:val="center"/>
          </w:tcPr>
          <w:p>
            <w:pPr>
              <w:pStyle w:val="10"/>
              <w:keepNext w:val="0"/>
              <w:keepLines w:val="0"/>
              <w:widowControl/>
              <w:suppressLineNumbers w:val="0"/>
            </w:pPr>
            <w:r>
              <w:rPr>
                <w:rStyle w:val="12"/>
              </w:rPr>
              <w:t>失联公告日期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w:t>
            </w:r>
          </w:p>
        </w:tc>
        <w:tc>
          <w:tcPr>
            <w:tcW w:w="3868" w:type="dxa"/>
            <w:shd w:val="clear"/>
            <w:vAlign w:val="center"/>
          </w:tcPr>
          <w:p>
            <w:pPr>
              <w:pStyle w:val="10"/>
              <w:keepNext w:val="0"/>
              <w:keepLines w:val="0"/>
              <w:widowControl/>
              <w:suppressLineNumbers w:val="0"/>
            </w:pPr>
            <w:r>
              <w:t>上海誉银股权投资基金管理有限公司</w:t>
            </w:r>
          </w:p>
        </w:tc>
        <w:tc>
          <w:tcPr>
            <w:tcW w:w="2512" w:type="dxa"/>
            <w:shd w:val="clear"/>
            <w:vAlign w:val="center"/>
          </w:tcPr>
          <w:p>
            <w:pPr>
              <w:pStyle w:val="10"/>
              <w:keepNext w:val="0"/>
              <w:keepLines w:val="0"/>
              <w:widowControl/>
              <w:suppressLineNumbers w:val="0"/>
            </w:pPr>
            <w:r>
              <w:t>310000000119279</w:t>
            </w:r>
          </w:p>
        </w:tc>
        <w:tc>
          <w:tcPr>
            <w:tcW w:w="1444" w:type="dxa"/>
            <w:shd w:val="clear"/>
            <w:vAlign w:val="center"/>
          </w:tcPr>
          <w:p>
            <w:pPr>
              <w:pStyle w:val="10"/>
              <w:keepNext w:val="0"/>
              <w:keepLines w:val="0"/>
              <w:widowControl/>
              <w:suppressLineNumbers w:val="0"/>
            </w:pPr>
            <w:r>
              <w:t>2016/6/27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2</w:t>
            </w:r>
          </w:p>
        </w:tc>
        <w:tc>
          <w:tcPr>
            <w:tcW w:w="3868" w:type="dxa"/>
            <w:shd w:val="clear"/>
            <w:vAlign w:val="center"/>
          </w:tcPr>
          <w:p>
            <w:pPr>
              <w:pStyle w:val="10"/>
              <w:keepNext w:val="0"/>
              <w:keepLines w:val="0"/>
              <w:widowControl/>
              <w:suppressLineNumbers w:val="0"/>
            </w:pPr>
            <w:r>
              <w:t>浙江智创合业投资管理有限公司</w:t>
            </w:r>
          </w:p>
        </w:tc>
        <w:tc>
          <w:tcPr>
            <w:tcW w:w="2512" w:type="dxa"/>
            <w:shd w:val="clear"/>
            <w:vAlign w:val="center"/>
          </w:tcPr>
          <w:p>
            <w:pPr>
              <w:pStyle w:val="10"/>
              <w:keepNext w:val="0"/>
              <w:keepLines w:val="0"/>
              <w:widowControl/>
              <w:suppressLineNumbers w:val="0"/>
            </w:pPr>
            <w:r>
              <w:t>330106000096855</w:t>
            </w:r>
          </w:p>
        </w:tc>
        <w:tc>
          <w:tcPr>
            <w:tcW w:w="1444" w:type="dxa"/>
            <w:shd w:val="clear"/>
            <w:vAlign w:val="center"/>
          </w:tcPr>
          <w:p>
            <w:pPr>
              <w:pStyle w:val="10"/>
              <w:keepNext w:val="0"/>
              <w:keepLines w:val="0"/>
              <w:widowControl/>
              <w:suppressLineNumbers w:val="0"/>
            </w:pPr>
            <w:r>
              <w:t>2017/3/2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3</w:t>
            </w:r>
          </w:p>
        </w:tc>
        <w:tc>
          <w:tcPr>
            <w:tcW w:w="3868" w:type="dxa"/>
            <w:shd w:val="clear"/>
            <w:vAlign w:val="center"/>
          </w:tcPr>
          <w:p>
            <w:pPr>
              <w:pStyle w:val="10"/>
              <w:keepNext w:val="0"/>
              <w:keepLines w:val="0"/>
              <w:widowControl/>
              <w:suppressLineNumbers w:val="0"/>
            </w:pPr>
            <w:r>
              <w:t>上海馨澄股权投资管理合伙企业（有限合伙）</w:t>
            </w:r>
          </w:p>
        </w:tc>
        <w:tc>
          <w:tcPr>
            <w:tcW w:w="2512" w:type="dxa"/>
            <w:shd w:val="clear"/>
            <w:vAlign w:val="center"/>
          </w:tcPr>
          <w:p>
            <w:pPr>
              <w:pStyle w:val="10"/>
              <w:keepNext w:val="0"/>
              <w:keepLines w:val="0"/>
              <w:widowControl/>
              <w:suppressLineNumbers w:val="0"/>
            </w:pPr>
            <w:r>
              <w:t>310000000139909</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4</w:t>
            </w:r>
          </w:p>
        </w:tc>
        <w:tc>
          <w:tcPr>
            <w:tcW w:w="3868" w:type="dxa"/>
            <w:shd w:val="clear"/>
            <w:vAlign w:val="center"/>
          </w:tcPr>
          <w:p>
            <w:pPr>
              <w:pStyle w:val="10"/>
              <w:keepNext w:val="0"/>
              <w:keepLines w:val="0"/>
              <w:widowControl/>
              <w:suppressLineNumbers w:val="0"/>
            </w:pPr>
            <w:r>
              <w:t>康汉投资管理（北京）有限公司</w:t>
            </w:r>
          </w:p>
        </w:tc>
        <w:tc>
          <w:tcPr>
            <w:tcW w:w="2512" w:type="dxa"/>
            <w:shd w:val="clear"/>
            <w:vAlign w:val="center"/>
          </w:tcPr>
          <w:p>
            <w:pPr>
              <w:pStyle w:val="10"/>
              <w:keepNext w:val="0"/>
              <w:keepLines w:val="0"/>
              <w:widowControl/>
              <w:suppressLineNumbers w:val="0"/>
            </w:pPr>
            <w:r>
              <w:t>911101050695778016</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5</w:t>
            </w:r>
          </w:p>
        </w:tc>
        <w:tc>
          <w:tcPr>
            <w:tcW w:w="3868" w:type="dxa"/>
            <w:shd w:val="clear"/>
            <w:vAlign w:val="center"/>
          </w:tcPr>
          <w:p>
            <w:pPr>
              <w:pStyle w:val="10"/>
              <w:keepNext w:val="0"/>
              <w:keepLines w:val="0"/>
              <w:widowControl/>
              <w:suppressLineNumbers w:val="0"/>
            </w:pPr>
            <w:r>
              <w:t>深圳前海智德投资咨询合伙企业（有限合伙）</w:t>
            </w:r>
          </w:p>
        </w:tc>
        <w:tc>
          <w:tcPr>
            <w:tcW w:w="2512" w:type="dxa"/>
            <w:shd w:val="clear"/>
            <w:vAlign w:val="center"/>
          </w:tcPr>
          <w:p>
            <w:pPr>
              <w:pStyle w:val="10"/>
              <w:keepNext w:val="0"/>
              <w:keepLines w:val="0"/>
              <w:widowControl/>
              <w:suppressLineNumbers w:val="0"/>
            </w:pPr>
            <w:r>
              <w:t>91440300311627003K</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6</w:t>
            </w:r>
          </w:p>
        </w:tc>
        <w:tc>
          <w:tcPr>
            <w:tcW w:w="3868" w:type="dxa"/>
            <w:shd w:val="clear"/>
            <w:vAlign w:val="center"/>
          </w:tcPr>
          <w:p>
            <w:pPr>
              <w:pStyle w:val="10"/>
              <w:keepNext w:val="0"/>
              <w:keepLines w:val="0"/>
              <w:widowControl/>
              <w:suppressLineNumbers w:val="0"/>
            </w:pPr>
            <w:r>
              <w:t>安徽池州市政汇中小企业金融服务有限公司</w:t>
            </w:r>
          </w:p>
        </w:tc>
        <w:tc>
          <w:tcPr>
            <w:tcW w:w="2512" w:type="dxa"/>
            <w:shd w:val="clear"/>
            <w:vAlign w:val="center"/>
          </w:tcPr>
          <w:p>
            <w:pPr>
              <w:pStyle w:val="10"/>
              <w:keepNext w:val="0"/>
              <w:keepLines w:val="0"/>
              <w:widowControl/>
              <w:suppressLineNumbers w:val="0"/>
            </w:pPr>
            <w:r>
              <w:t>91341700082246652J</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7</w:t>
            </w:r>
          </w:p>
        </w:tc>
        <w:tc>
          <w:tcPr>
            <w:tcW w:w="3868" w:type="dxa"/>
            <w:shd w:val="clear"/>
            <w:vAlign w:val="center"/>
          </w:tcPr>
          <w:p>
            <w:pPr>
              <w:pStyle w:val="10"/>
              <w:keepNext w:val="0"/>
              <w:keepLines w:val="0"/>
              <w:widowControl/>
              <w:suppressLineNumbers w:val="0"/>
            </w:pPr>
            <w:r>
              <w:t>广州银闰投资顾问有限公司</w:t>
            </w:r>
          </w:p>
        </w:tc>
        <w:tc>
          <w:tcPr>
            <w:tcW w:w="2512" w:type="dxa"/>
            <w:shd w:val="clear"/>
            <w:vAlign w:val="center"/>
          </w:tcPr>
          <w:p>
            <w:pPr>
              <w:pStyle w:val="10"/>
              <w:keepNext w:val="0"/>
              <w:keepLines w:val="0"/>
              <w:widowControl/>
              <w:suppressLineNumbers w:val="0"/>
            </w:pPr>
            <w:r>
              <w:t>914401015760444442</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8</w:t>
            </w:r>
          </w:p>
        </w:tc>
        <w:tc>
          <w:tcPr>
            <w:tcW w:w="3868" w:type="dxa"/>
            <w:shd w:val="clear"/>
            <w:vAlign w:val="center"/>
          </w:tcPr>
          <w:p>
            <w:pPr>
              <w:pStyle w:val="10"/>
              <w:keepNext w:val="0"/>
              <w:keepLines w:val="0"/>
              <w:widowControl/>
              <w:suppressLineNumbers w:val="0"/>
            </w:pPr>
            <w:r>
              <w:t>重庆盛云穆迪股权投资基金管理有限公司</w:t>
            </w:r>
          </w:p>
        </w:tc>
        <w:tc>
          <w:tcPr>
            <w:tcW w:w="2512" w:type="dxa"/>
            <w:shd w:val="clear"/>
            <w:vAlign w:val="center"/>
          </w:tcPr>
          <w:p>
            <w:pPr>
              <w:pStyle w:val="10"/>
              <w:keepNext w:val="0"/>
              <w:keepLines w:val="0"/>
              <w:widowControl/>
              <w:suppressLineNumbers w:val="0"/>
            </w:pPr>
            <w:r>
              <w:t>915001120772582455</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9</w:t>
            </w:r>
          </w:p>
        </w:tc>
        <w:tc>
          <w:tcPr>
            <w:tcW w:w="3868" w:type="dxa"/>
            <w:shd w:val="clear"/>
            <w:vAlign w:val="center"/>
          </w:tcPr>
          <w:p>
            <w:pPr>
              <w:pStyle w:val="10"/>
              <w:keepNext w:val="0"/>
              <w:keepLines w:val="0"/>
              <w:widowControl/>
              <w:suppressLineNumbers w:val="0"/>
            </w:pPr>
            <w:r>
              <w:t>厦门昊凯股权投资管理有限公司</w:t>
            </w:r>
          </w:p>
        </w:tc>
        <w:tc>
          <w:tcPr>
            <w:tcW w:w="2512" w:type="dxa"/>
            <w:shd w:val="clear"/>
            <w:vAlign w:val="center"/>
          </w:tcPr>
          <w:p>
            <w:pPr>
              <w:pStyle w:val="10"/>
              <w:keepNext w:val="0"/>
              <w:keepLines w:val="0"/>
              <w:widowControl/>
              <w:suppressLineNumbers w:val="0"/>
            </w:pPr>
            <w:r>
              <w:t>91350200303267845J</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10</w:t>
            </w:r>
          </w:p>
        </w:tc>
        <w:tc>
          <w:tcPr>
            <w:tcW w:w="3868" w:type="dxa"/>
            <w:shd w:val="clear"/>
            <w:vAlign w:val="center"/>
          </w:tcPr>
          <w:p>
            <w:pPr>
              <w:pStyle w:val="10"/>
              <w:keepNext w:val="0"/>
              <w:keepLines w:val="0"/>
              <w:widowControl/>
              <w:suppressLineNumbers w:val="0"/>
            </w:pPr>
            <w:r>
              <w:t>宁波才丰股权投资基金管理有限公司</w:t>
            </w:r>
          </w:p>
        </w:tc>
        <w:tc>
          <w:tcPr>
            <w:tcW w:w="2512" w:type="dxa"/>
            <w:shd w:val="clear"/>
            <w:vAlign w:val="center"/>
          </w:tcPr>
          <w:p>
            <w:pPr>
              <w:pStyle w:val="10"/>
              <w:keepNext w:val="0"/>
              <w:keepLines w:val="0"/>
              <w:widowControl/>
              <w:suppressLineNumbers w:val="0"/>
            </w:pPr>
            <w:r>
              <w:t>330215000050122</w:t>
            </w:r>
          </w:p>
        </w:tc>
        <w:tc>
          <w:tcPr>
            <w:tcW w:w="1444" w:type="dxa"/>
            <w:shd w:val="clear"/>
            <w:vAlign w:val="center"/>
          </w:tcPr>
          <w:p>
            <w:pPr>
              <w:pStyle w:val="10"/>
              <w:keepNext w:val="0"/>
              <w:keepLines w:val="0"/>
              <w:widowControl/>
              <w:suppressLineNumbers w:val="0"/>
            </w:pPr>
            <w:r>
              <w:t>2017/7/7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11</w:t>
            </w:r>
          </w:p>
        </w:tc>
        <w:tc>
          <w:tcPr>
            <w:tcW w:w="3868" w:type="dxa"/>
            <w:shd w:val="clear"/>
            <w:vAlign w:val="center"/>
          </w:tcPr>
          <w:p>
            <w:pPr>
              <w:pStyle w:val="10"/>
              <w:keepNext w:val="0"/>
              <w:keepLines w:val="0"/>
              <w:widowControl/>
              <w:suppressLineNumbers w:val="0"/>
            </w:pPr>
            <w:r>
              <w:t>北京默名资产管理有限公司</w:t>
            </w:r>
          </w:p>
        </w:tc>
        <w:tc>
          <w:tcPr>
            <w:tcW w:w="2512" w:type="dxa"/>
            <w:shd w:val="clear"/>
            <w:vAlign w:val="center"/>
          </w:tcPr>
          <w:p>
            <w:pPr>
              <w:pStyle w:val="10"/>
              <w:keepNext w:val="0"/>
              <w:keepLines w:val="0"/>
              <w:widowControl/>
              <w:suppressLineNumbers w:val="0"/>
            </w:pPr>
            <w:r>
              <w:t>911101053272068286</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12</w:t>
            </w:r>
          </w:p>
        </w:tc>
        <w:tc>
          <w:tcPr>
            <w:tcW w:w="3868" w:type="dxa"/>
            <w:shd w:val="clear"/>
            <w:vAlign w:val="center"/>
          </w:tcPr>
          <w:p>
            <w:pPr>
              <w:pStyle w:val="10"/>
              <w:keepNext w:val="0"/>
              <w:keepLines w:val="0"/>
              <w:widowControl/>
              <w:suppressLineNumbers w:val="0"/>
            </w:pPr>
            <w:r>
              <w:t>上海一辉资产管理有限公司</w:t>
            </w:r>
          </w:p>
        </w:tc>
        <w:tc>
          <w:tcPr>
            <w:tcW w:w="2512" w:type="dxa"/>
            <w:shd w:val="clear"/>
            <w:vAlign w:val="center"/>
          </w:tcPr>
          <w:p>
            <w:pPr>
              <w:pStyle w:val="10"/>
              <w:keepNext w:val="0"/>
              <w:keepLines w:val="0"/>
              <w:widowControl/>
              <w:suppressLineNumbers w:val="0"/>
            </w:pPr>
            <w:r>
              <w:t>91310120072926048R</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13</w:t>
            </w:r>
          </w:p>
        </w:tc>
        <w:tc>
          <w:tcPr>
            <w:tcW w:w="3868" w:type="dxa"/>
            <w:shd w:val="clear"/>
            <w:vAlign w:val="center"/>
          </w:tcPr>
          <w:p>
            <w:pPr>
              <w:pStyle w:val="10"/>
              <w:keepNext w:val="0"/>
              <w:keepLines w:val="0"/>
              <w:widowControl/>
              <w:suppressLineNumbers w:val="0"/>
            </w:pPr>
            <w:r>
              <w:t>深圳凯建宏投资管理有限公司</w:t>
            </w:r>
          </w:p>
        </w:tc>
        <w:tc>
          <w:tcPr>
            <w:tcW w:w="2512" w:type="dxa"/>
            <w:shd w:val="clear"/>
            <w:vAlign w:val="center"/>
          </w:tcPr>
          <w:p>
            <w:pPr>
              <w:pStyle w:val="10"/>
              <w:keepNext w:val="0"/>
              <w:keepLines w:val="0"/>
              <w:widowControl/>
              <w:suppressLineNumbers w:val="0"/>
            </w:pPr>
            <w:r>
              <w:t>91440300192455068W</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14</w:t>
            </w:r>
          </w:p>
        </w:tc>
        <w:tc>
          <w:tcPr>
            <w:tcW w:w="3868" w:type="dxa"/>
            <w:shd w:val="clear"/>
            <w:vAlign w:val="center"/>
          </w:tcPr>
          <w:p>
            <w:pPr>
              <w:pStyle w:val="10"/>
              <w:keepNext w:val="0"/>
              <w:keepLines w:val="0"/>
              <w:widowControl/>
              <w:suppressLineNumbers w:val="0"/>
            </w:pPr>
            <w:r>
              <w:t>江苏高盈资产管理有限公司</w:t>
            </w:r>
          </w:p>
        </w:tc>
        <w:tc>
          <w:tcPr>
            <w:tcW w:w="2512" w:type="dxa"/>
            <w:shd w:val="clear"/>
            <w:vAlign w:val="center"/>
          </w:tcPr>
          <w:p>
            <w:pPr>
              <w:pStyle w:val="10"/>
              <w:keepNext w:val="0"/>
              <w:keepLines w:val="0"/>
              <w:widowControl/>
              <w:suppressLineNumbers w:val="0"/>
            </w:pPr>
            <w:r>
              <w:t>913201160670517348</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15</w:t>
            </w:r>
          </w:p>
        </w:tc>
        <w:tc>
          <w:tcPr>
            <w:tcW w:w="3868" w:type="dxa"/>
            <w:shd w:val="clear"/>
            <w:vAlign w:val="center"/>
          </w:tcPr>
          <w:p>
            <w:pPr>
              <w:pStyle w:val="10"/>
              <w:keepNext w:val="0"/>
              <w:keepLines w:val="0"/>
              <w:widowControl/>
              <w:suppressLineNumbers w:val="0"/>
            </w:pPr>
            <w:r>
              <w:t>株洲华泰股权投资基金管理有限公司</w:t>
            </w:r>
          </w:p>
        </w:tc>
        <w:tc>
          <w:tcPr>
            <w:tcW w:w="2512" w:type="dxa"/>
            <w:shd w:val="clear"/>
            <w:vAlign w:val="center"/>
          </w:tcPr>
          <w:p>
            <w:pPr>
              <w:pStyle w:val="10"/>
              <w:keepNext w:val="0"/>
              <w:keepLines w:val="0"/>
              <w:widowControl/>
              <w:suppressLineNumbers w:val="0"/>
            </w:pPr>
            <w:r>
              <w:t>430200000108549</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16</w:t>
            </w:r>
          </w:p>
        </w:tc>
        <w:tc>
          <w:tcPr>
            <w:tcW w:w="3868" w:type="dxa"/>
            <w:shd w:val="clear"/>
            <w:vAlign w:val="center"/>
          </w:tcPr>
          <w:p>
            <w:pPr>
              <w:pStyle w:val="10"/>
              <w:keepNext w:val="0"/>
              <w:keepLines w:val="0"/>
              <w:widowControl/>
              <w:suppressLineNumbers w:val="0"/>
            </w:pPr>
            <w:r>
              <w:t>郴州汉红股权投资基金管理有限公司</w:t>
            </w:r>
          </w:p>
        </w:tc>
        <w:tc>
          <w:tcPr>
            <w:tcW w:w="2512" w:type="dxa"/>
            <w:shd w:val="clear"/>
            <w:vAlign w:val="center"/>
          </w:tcPr>
          <w:p>
            <w:pPr>
              <w:pStyle w:val="10"/>
              <w:keepNext w:val="0"/>
              <w:keepLines w:val="0"/>
              <w:widowControl/>
              <w:suppressLineNumbers w:val="0"/>
            </w:pPr>
            <w:r>
              <w:t>91431000593251322H</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17</w:t>
            </w:r>
          </w:p>
        </w:tc>
        <w:tc>
          <w:tcPr>
            <w:tcW w:w="3868" w:type="dxa"/>
            <w:shd w:val="clear"/>
            <w:vAlign w:val="center"/>
          </w:tcPr>
          <w:p>
            <w:pPr>
              <w:pStyle w:val="10"/>
              <w:keepNext w:val="0"/>
              <w:keepLines w:val="0"/>
              <w:widowControl/>
              <w:suppressLineNumbers w:val="0"/>
            </w:pPr>
            <w:r>
              <w:t>北京鼎盛亿资资产管理有限公司</w:t>
            </w:r>
          </w:p>
        </w:tc>
        <w:tc>
          <w:tcPr>
            <w:tcW w:w="2512" w:type="dxa"/>
            <w:shd w:val="clear"/>
            <w:vAlign w:val="center"/>
          </w:tcPr>
          <w:p>
            <w:pPr>
              <w:pStyle w:val="10"/>
              <w:keepNext w:val="0"/>
              <w:keepLines w:val="0"/>
              <w:widowControl/>
              <w:suppressLineNumbers w:val="0"/>
            </w:pPr>
            <w:r>
              <w:t>91110105MA00172T1J</w:t>
            </w:r>
          </w:p>
        </w:tc>
        <w:tc>
          <w:tcPr>
            <w:tcW w:w="1444" w:type="dxa"/>
            <w:shd w:val="clear"/>
            <w:vAlign w:val="center"/>
          </w:tcPr>
          <w:p>
            <w:pPr>
              <w:pStyle w:val="10"/>
              <w:keepNext w:val="0"/>
              <w:keepLines w:val="0"/>
              <w:widowControl/>
              <w:suppressLineNumbers w:val="0"/>
            </w:pPr>
            <w:r>
              <w:t>2017/8/28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18</w:t>
            </w:r>
          </w:p>
        </w:tc>
        <w:tc>
          <w:tcPr>
            <w:tcW w:w="3868" w:type="dxa"/>
            <w:shd w:val="clear"/>
            <w:vAlign w:val="center"/>
          </w:tcPr>
          <w:p>
            <w:pPr>
              <w:pStyle w:val="10"/>
              <w:keepNext w:val="0"/>
              <w:keepLines w:val="0"/>
              <w:widowControl/>
              <w:suppressLineNumbers w:val="0"/>
            </w:pPr>
            <w:r>
              <w:t>北京东方财星国际资本管理有限公司</w:t>
            </w:r>
          </w:p>
        </w:tc>
        <w:tc>
          <w:tcPr>
            <w:tcW w:w="2512" w:type="dxa"/>
            <w:shd w:val="clear"/>
            <w:vAlign w:val="center"/>
          </w:tcPr>
          <w:p>
            <w:pPr>
              <w:pStyle w:val="10"/>
              <w:keepNext w:val="0"/>
              <w:keepLines w:val="0"/>
              <w:widowControl/>
              <w:suppressLineNumbers w:val="0"/>
            </w:pPr>
            <w:r>
              <w:t>110102013132153</w:t>
            </w:r>
          </w:p>
        </w:tc>
        <w:tc>
          <w:tcPr>
            <w:tcW w:w="1444" w:type="dxa"/>
            <w:shd w:val="clear"/>
            <w:vAlign w:val="center"/>
          </w:tcPr>
          <w:p>
            <w:pPr>
              <w:pStyle w:val="10"/>
              <w:keepNext w:val="0"/>
              <w:keepLines w:val="0"/>
              <w:widowControl/>
              <w:suppressLineNumbers w:val="0"/>
            </w:pPr>
            <w:r>
              <w:t>2017/10/11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tblCellSpacing w:w="0" w:type="dxa"/>
        </w:trPr>
        <w:tc>
          <w:tcPr>
            <w:tcW w:w="469" w:type="dxa"/>
            <w:shd w:val="clear"/>
            <w:vAlign w:val="center"/>
          </w:tcPr>
          <w:p>
            <w:pPr>
              <w:pStyle w:val="10"/>
              <w:keepNext w:val="0"/>
              <w:keepLines w:val="0"/>
              <w:widowControl/>
              <w:suppressLineNumbers w:val="0"/>
            </w:pPr>
            <w:r>
              <w:rPr>
                <w:rStyle w:val="12"/>
              </w:rPr>
              <w:t>19</w:t>
            </w:r>
          </w:p>
        </w:tc>
        <w:tc>
          <w:tcPr>
            <w:tcW w:w="3868" w:type="dxa"/>
            <w:shd w:val="clear"/>
            <w:vAlign w:val="center"/>
          </w:tcPr>
          <w:p>
            <w:pPr>
              <w:pStyle w:val="10"/>
              <w:keepNext w:val="0"/>
              <w:keepLines w:val="0"/>
              <w:widowControl/>
              <w:suppressLineNumbers w:val="0"/>
            </w:pPr>
            <w:r>
              <w:t>中投互联（北京）股权投资基金管有限公司</w:t>
            </w:r>
          </w:p>
        </w:tc>
        <w:tc>
          <w:tcPr>
            <w:tcW w:w="2512" w:type="dxa"/>
            <w:shd w:val="clear"/>
            <w:vAlign w:val="center"/>
          </w:tcPr>
          <w:p>
            <w:pPr>
              <w:pStyle w:val="10"/>
              <w:keepNext w:val="0"/>
              <w:keepLines w:val="0"/>
              <w:widowControl/>
              <w:suppressLineNumbers w:val="0"/>
            </w:pPr>
            <w:r>
              <w:t>911101015674304311</w:t>
            </w:r>
          </w:p>
        </w:tc>
        <w:tc>
          <w:tcPr>
            <w:tcW w:w="1444" w:type="dxa"/>
            <w:shd w:val="clear"/>
            <w:vAlign w:val="center"/>
          </w:tcPr>
          <w:p>
            <w:pPr>
              <w:pStyle w:val="10"/>
              <w:keepNext w:val="0"/>
              <w:keepLines w:val="0"/>
              <w:widowControl/>
              <w:suppressLineNumbers w:val="0"/>
            </w:pPr>
            <w:r>
              <w:t>2017/10/11</w:t>
            </w:r>
          </w:p>
        </w:tc>
      </w:tr>
    </w:tbl>
    <w:p>
      <w:pPr>
        <w:pStyle w:val="10"/>
        <w:keepNext w:val="0"/>
        <w:keepLines w:val="0"/>
        <w:widowControl/>
        <w:suppressLineNumbers w:val="0"/>
        <w:spacing w:line="330" w:lineRule="atLeast"/>
        <w:rPr>
          <w:rFonts w:hint="eastAsia" w:ascii="华文楷体" w:hAnsi="华文楷体" w:eastAsia="华文楷体" w:cs="华文楷体"/>
          <w:sz w:val="24"/>
          <w:szCs w:val="24"/>
          <w:lang w:val="en-US" w:eastAsia="zh-CN"/>
        </w:rPr>
      </w:pPr>
    </w:p>
    <w:sectPr>
      <w:pgSz w:w="11900" w:h="16838"/>
      <w:pgMar w:top="1440" w:right="1803" w:bottom="1440" w:left="1803" w:header="0" w:footer="567" w:gutter="0"/>
      <w:paperSrc/>
      <w:pgNumType w:fmt="decimal"/>
      <w:cols w:space="425"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雅黑">
    <w:altName w:val="黑体"/>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variable"/>
    <w:sig w:usb0="E00002FF" w:usb1="420024FF" w:usb2="00000000" w:usb3="00000000" w:csb0="2000019F" w:csb1="00000000"/>
  </w:font>
  <w:font w:name="@宋体">
    <w:panose1 w:val="02010600030101010101"/>
    <w:charset w:val="86"/>
    <w:family w:val="auto"/>
    <w:pitch w:val="variable"/>
    <w:sig w:usb0="00000003" w:usb1="288F0000" w:usb2="00000006" w:usb3="00000000" w:csb0="00040001" w:csb1="00000000"/>
  </w:font>
  <w:font w:name="仿宋_GB2312">
    <w:altName w:val="仿宋"/>
    <w:panose1 w:val="00000000000000000000"/>
    <w:charset w:val="86"/>
    <w:family w:val="auto"/>
    <w:pitch w:val="fixed"/>
    <w:sig w:usb0="00000000" w:usb1="080E0000" w:usb2="00000010" w:usb3="00000000" w:csb0="00040000" w:csb1="00000000"/>
  </w:font>
  <w:font w:name="@仿宋_GB2312">
    <w:altName w:val="仿宋"/>
    <w:panose1 w:val="00000000000000000000"/>
    <w:charset w:val="86"/>
    <w:family w:val="auto"/>
    <w:pitch w:val="fixed"/>
    <w:sig w:usb0="00000000" w:usb1="080E0000" w:usb2="00000010" w:usb3="00000000" w:csb0="00040000" w:csb1="00000000"/>
  </w:font>
  <w:font w:name="@黑体">
    <w:panose1 w:val="02010609060101010101"/>
    <w:charset w:val="86"/>
    <w:family w:val="auto"/>
    <w:pitch w:val="fixed"/>
    <w:sig w:usb0="800002BF" w:usb1="38CF7CFA" w:usb2="00000016" w:usb3="00000000" w:csb0="00040001" w:csb1="00000000"/>
  </w:font>
  <w:font w:name="΢���ź�">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vj1DD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zvj1DDAgAA2AUAAA4AAAAA&#10;AAAAAQAgAAAAHwEAAGRycy9lMm9Eb2MueG1sUEsFBgAAAAAGAAYAWQEAAFQG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2D"/>
    <w:rsid w:val="0002592B"/>
    <w:rsid w:val="00032EED"/>
    <w:rsid w:val="000D669C"/>
    <w:rsid w:val="002A585F"/>
    <w:rsid w:val="00396FE7"/>
    <w:rsid w:val="003C7D58"/>
    <w:rsid w:val="003F468E"/>
    <w:rsid w:val="004659BD"/>
    <w:rsid w:val="004B4FCA"/>
    <w:rsid w:val="0055172D"/>
    <w:rsid w:val="005D2BEF"/>
    <w:rsid w:val="006616D0"/>
    <w:rsid w:val="007D749F"/>
    <w:rsid w:val="008B0DEC"/>
    <w:rsid w:val="00A60284"/>
    <w:rsid w:val="00AC5616"/>
    <w:rsid w:val="00BC1141"/>
    <w:rsid w:val="00EC174E"/>
    <w:rsid w:val="00F45B39"/>
    <w:rsid w:val="00F92A01"/>
    <w:rsid w:val="01CF578F"/>
    <w:rsid w:val="02583E8E"/>
    <w:rsid w:val="0276298D"/>
    <w:rsid w:val="029C3616"/>
    <w:rsid w:val="031F0683"/>
    <w:rsid w:val="057608FE"/>
    <w:rsid w:val="05FB73EF"/>
    <w:rsid w:val="066A5D2D"/>
    <w:rsid w:val="06A17AB9"/>
    <w:rsid w:val="071604CD"/>
    <w:rsid w:val="07E30379"/>
    <w:rsid w:val="083105BB"/>
    <w:rsid w:val="0A6A1D7B"/>
    <w:rsid w:val="0A6A751C"/>
    <w:rsid w:val="0B120D49"/>
    <w:rsid w:val="0BF33D9C"/>
    <w:rsid w:val="0CB52F8B"/>
    <w:rsid w:val="0CC43618"/>
    <w:rsid w:val="0E096713"/>
    <w:rsid w:val="12C60AC1"/>
    <w:rsid w:val="12F52609"/>
    <w:rsid w:val="14FC62A8"/>
    <w:rsid w:val="15F24D82"/>
    <w:rsid w:val="16957CA7"/>
    <w:rsid w:val="179C4F9A"/>
    <w:rsid w:val="17BA450D"/>
    <w:rsid w:val="18B52E39"/>
    <w:rsid w:val="192C1586"/>
    <w:rsid w:val="19B035BA"/>
    <w:rsid w:val="19FB77AA"/>
    <w:rsid w:val="1BAF170B"/>
    <w:rsid w:val="1C4216EB"/>
    <w:rsid w:val="1E085335"/>
    <w:rsid w:val="1E3067BB"/>
    <w:rsid w:val="1F0F546C"/>
    <w:rsid w:val="1FCD0731"/>
    <w:rsid w:val="1FEF53CF"/>
    <w:rsid w:val="21746801"/>
    <w:rsid w:val="21A1615F"/>
    <w:rsid w:val="21E43BC1"/>
    <w:rsid w:val="229405FC"/>
    <w:rsid w:val="238B3C1C"/>
    <w:rsid w:val="23C352D4"/>
    <w:rsid w:val="244171D2"/>
    <w:rsid w:val="26001C9A"/>
    <w:rsid w:val="26066205"/>
    <w:rsid w:val="28FF19EC"/>
    <w:rsid w:val="29D91A8F"/>
    <w:rsid w:val="2B9959E2"/>
    <w:rsid w:val="2B9B557A"/>
    <w:rsid w:val="2C8D3641"/>
    <w:rsid w:val="2E353522"/>
    <w:rsid w:val="2E397770"/>
    <w:rsid w:val="306F6D52"/>
    <w:rsid w:val="31B85A37"/>
    <w:rsid w:val="32945321"/>
    <w:rsid w:val="354B6BB1"/>
    <w:rsid w:val="35704557"/>
    <w:rsid w:val="37106FD0"/>
    <w:rsid w:val="3C133433"/>
    <w:rsid w:val="3C1C3226"/>
    <w:rsid w:val="3C252581"/>
    <w:rsid w:val="3FD14745"/>
    <w:rsid w:val="40373F2E"/>
    <w:rsid w:val="40A007E4"/>
    <w:rsid w:val="41FF629B"/>
    <w:rsid w:val="42223C1C"/>
    <w:rsid w:val="428A7071"/>
    <w:rsid w:val="43B075CE"/>
    <w:rsid w:val="43CF0649"/>
    <w:rsid w:val="44BB4797"/>
    <w:rsid w:val="45412707"/>
    <w:rsid w:val="45D31244"/>
    <w:rsid w:val="479201F3"/>
    <w:rsid w:val="484153B4"/>
    <w:rsid w:val="48893AD0"/>
    <w:rsid w:val="48BB7CB9"/>
    <w:rsid w:val="4BBD4949"/>
    <w:rsid w:val="4CA87E12"/>
    <w:rsid w:val="4D154DCB"/>
    <w:rsid w:val="4E0D574C"/>
    <w:rsid w:val="4F5B0471"/>
    <w:rsid w:val="509D4729"/>
    <w:rsid w:val="50BC193F"/>
    <w:rsid w:val="51A80452"/>
    <w:rsid w:val="526E13E6"/>
    <w:rsid w:val="542D3E22"/>
    <w:rsid w:val="56583325"/>
    <w:rsid w:val="56D00DD8"/>
    <w:rsid w:val="586C30FB"/>
    <w:rsid w:val="588A76A7"/>
    <w:rsid w:val="5A8213CF"/>
    <w:rsid w:val="5B77488E"/>
    <w:rsid w:val="5B9C5A7E"/>
    <w:rsid w:val="5CE822E5"/>
    <w:rsid w:val="5D5E7D8C"/>
    <w:rsid w:val="5E8C681F"/>
    <w:rsid w:val="5EFC760A"/>
    <w:rsid w:val="60903099"/>
    <w:rsid w:val="61033E64"/>
    <w:rsid w:val="619A418D"/>
    <w:rsid w:val="695837F8"/>
    <w:rsid w:val="69D813A6"/>
    <w:rsid w:val="69FC5DFF"/>
    <w:rsid w:val="6BA03DD1"/>
    <w:rsid w:val="6BA33260"/>
    <w:rsid w:val="6CC37871"/>
    <w:rsid w:val="6D020486"/>
    <w:rsid w:val="6D2917E6"/>
    <w:rsid w:val="6E7812F7"/>
    <w:rsid w:val="6ECC3ABC"/>
    <w:rsid w:val="70F616E6"/>
    <w:rsid w:val="734E12F5"/>
    <w:rsid w:val="73920406"/>
    <w:rsid w:val="740B5415"/>
    <w:rsid w:val="74795E49"/>
    <w:rsid w:val="74EE1D46"/>
    <w:rsid w:val="74F75394"/>
    <w:rsid w:val="75A2625B"/>
    <w:rsid w:val="75C2195E"/>
    <w:rsid w:val="769E572B"/>
    <w:rsid w:val="77FA1FF1"/>
    <w:rsid w:val="795D76F1"/>
    <w:rsid w:val="7BD43429"/>
    <w:rsid w:val="7DBD33FA"/>
    <w:rsid w:val="7DC3374F"/>
    <w:rsid w:val="7DE635FD"/>
    <w:rsid w:val="7FC21C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unhideWhenUsed/>
    <w:uiPriority w:val="1"/>
  </w:style>
  <w:style w:type="table" w:default="1" w:styleId="16">
    <w:name w:val="Normal Table"/>
    <w:unhideWhenUsed/>
    <w:uiPriority w:val="99"/>
    <w:tblPr>
      <w:tblLayout w:type="fixed"/>
      <w:tblCellMar>
        <w:top w:w="0" w:type="dxa"/>
        <w:left w:w="108" w:type="dxa"/>
        <w:bottom w:w="0" w:type="dxa"/>
        <w:right w:w="108" w:type="dxa"/>
      </w:tblCellMar>
    </w:tblPr>
  </w:style>
  <w:style w:type="paragraph" w:styleId="5">
    <w:name w:val="Date"/>
    <w:basedOn w:val="1"/>
    <w:next w:val="1"/>
    <w:link w:val="17"/>
    <w:unhideWhenUsed/>
    <w:uiPriority w:val="99"/>
    <w:pPr>
      <w:ind w:left="100" w:leftChars="2500"/>
    </w:pPr>
    <w:rPr>
      <w:b/>
      <w:sz w:val="48"/>
      <w:szCs w:val="48"/>
    </w:rPr>
  </w:style>
  <w:style w:type="paragraph" w:styleId="6">
    <w:name w:val="footer"/>
    <w:basedOn w:val="1"/>
    <w:unhideWhenUsed/>
    <w:uiPriority w:val="99"/>
    <w:pPr>
      <w:tabs>
        <w:tab w:val="center" w:pos="4153"/>
        <w:tab w:val="right" w:pos="8306"/>
      </w:tabs>
      <w:snapToGrid w:val="0"/>
      <w:jc w:val="left"/>
    </w:pPr>
    <w:rPr>
      <w:sz w:val="18"/>
    </w:rPr>
  </w:style>
  <w:style w:type="paragraph" w:styleId="7">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uiPriority w:val="39"/>
  </w:style>
  <w:style w:type="paragraph" w:styleId="9">
    <w:name w:val="toc 2"/>
    <w:basedOn w:val="1"/>
    <w:next w:val="1"/>
    <w:unhideWhenUsed/>
    <w:uiPriority w:val="39"/>
    <w:pPr>
      <w:ind w:left="420" w:leftChars="200"/>
    </w:pPr>
  </w:style>
  <w:style w:type="paragraph" w:styleId="10">
    <w:name w:val="Normal (Web)"/>
    <w:basedOn w:val="1"/>
    <w:unhideWhenUsed/>
    <w:uiPriority w:val="99"/>
    <w:pPr>
      <w:spacing w:before="0" w:beforeAutospacing="1" w:after="0" w:afterAutospacing="1"/>
      <w:ind w:left="0" w:right="0"/>
      <w:jc w:val="left"/>
    </w:pPr>
    <w:rPr>
      <w:kern w:val="0"/>
      <w:sz w:val="24"/>
      <w:lang w:val="en-US" w:eastAsia="zh-CN" w:bidi="ar"/>
    </w:rPr>
  </w:style>
  <w:style w:type="character" w:styleId="12">
    <w:name w:val="Strong"/>
    <w:basedOn w:val="11"/>
    <w:qFormat/>
    <w:uiPriority w:val="22"/>
    <w:rPr>
      <w:b/>
    </w:rPr>
  </w:style>
  <w:style w:type="character" w:styleId="13">
    <w:name w:val="FollowedHyperlink"/>
    <w:basedOn w:val="11"/>
    <w:unhideWhenUsed/>
    <w:uiPriority w:val="99"/>
    <w:rPr>
      <w:color w:val="333333"/>
      <w:u w:val="none"/>
    </w:rPr>
  </w:style>
  <w:style w:type="character" w:styleId="14">
    <w:name w:val="Emphasis"/>
    <w:basedOn w:val="11"/>
    <w:qFormat/>
    <w:uiPriority w:val="20"/>
    <w:rPr>
      <w:i/>
    </w:rPr>
  </w:style>
  <w:style w:type="character" w:styleId="15">
    <w:name w:val="Hyperlink"/>
    <w:basedOn w:val="11"/>
    <w:unhideWhenUsed/>
    <w:uiPriority w:val="99"/>
    <w:rPr>
      <w:color w:val="333333"/>
      <w:u w:val="none"/>
    </w:rPr>
  </w:style>
  <w:style w:type="character" w:customStyle="1" w:styleId="17">
    <w:name w:val="日期字符"/>
    <w:basedOn w:val="11"/>
    <w:link w:val="5"/>
    <w:uiPriority w:val="99"/>
    <w:rPr>
      <w:b/>
      <w:sz w:val="48"/>
      <w:szCs w:val="48"/>
    </w:rPr>
  </w:style>
  <w:style w:type="paragraph" w:styleId="18">
    <w:name w:val="List Paragraph"/>
    <w:basedOn w:val="1"/>
    <w:qFormat/>
    <w:uiPriority w:val="34"/>
    <w:pPr>
      <w:ind w:firstLine="420" w:firstLineChars="200"/>
    </w:pPr>
  </w:style>
  <w:style w:type="character" w:customStyle="1" w:styleId="19">
    <w:name w:val="disabled"/>
    <w:basedOn w:val="11"/>
    <w:uiPriority w:val="0"/>
    <w:rPr>
      <w:color w:val="888888"/>
    </w:rPr>
  </w:style>
  <w:style w:type="character" w:customStyle="1" w:styleId="20">
    <w:name w:val="ft_time"/>
    <w:basedOn w:val="11"/>
    <w:uiPriority w:val="0"/>
    <w:rPr>
      <w:color w:val="888888"/>
    </w:rPr>
  </w:style>
  <w:style w:type="character" w:customStyle="1" w:styleId="21">
    <w:name w:val="language"/>
    <w:basedOn w:val="11"/>
    <w:uiPriority w:val="0"/>
  </w:style>
  <w:style w:type="character" w:customStyle="1" w:styleId="22">
    <w:name w:val="moduletitle_menuitemsel"/>
    <w:basedOn w:val="11"/>
    <w:uiPriority w:val="0"/>
    <w:rPr>
      <w:rFonts w:ascii="Tahoma" w:hAnsi="Tahoma" w:eastAsia="Tahoma" w:cs="Tahoma"/>
      <w:b/>
      <w:color w:val="000000"/>
      <w:sz w:val="18"/>
      <w:szCs w:val="18"/>
    </w:rPr>
  </w:style>
  <w:style w:type="character" w:customStyle="1" w:styleId="23">
    <w:name w:val="bsharetext"/>
    <w:basedOn w:val="11"/>
    <w:uiPriority w:val="0"/>
  </w:style>
  <w:style w:type="character" w:customStyle="1" w:styleId="24">
    <w:name w:val="moduletitle_menuitemsel2"/>
    <w:basedOn w:val="11"/>
    <w:uiPriority w:val="0"/>
    <w:rPr>
      <w:rFonts w:ascii="Tahoma" w:hAnsi="Tahoma" w:eastAsia="Tahoma" w:cs="Tahoma"/>
      <w:b/>
      <w:color w:val="000000"/>
      <w:sz w:val="18"/>
      <w:szCs w:val="18"/>
    </w:rPr>
  </w:style>
  <w:style w:type="character" w:customStyle="1" w:styleId="25">
    <w:name w:val="language2"/>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NUL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88</Words>
  <Characters>504</Characters>
  <Lines>4</Lines>
  <Paragraphs>1</Paragraphs>
  <TotalTime>0</TotalTime>
  <ScaleCrop>false</ScaleCrop>
  <LinksUpToDate>false</LinksUpToDate>
  <CharactersWithSpaces>591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2017-09-14T08:57:00Z</dcterms:created>
  <dc:creator>air z</dc:creator>
  <cp:lastModifiedBy>Administrator</cp:lastModifiedBy>
  <dcterms:modified xsi:type="dcterms:W3CDTF">2018-02-02T08:20:45Z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